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CAPSTONE PROJECT REGISTER</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Class</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b w:val="1"/>
          <w:bCs w:val="1"/>
          <w:sz w:val="24"/>
          <w:szCs w:val="24"/>
          <w:rtl w:val="0"/>
        </w:rPr>
        <w:t xml:space="preserve">Duration time</w:t>
      </w:r>
      <w:r>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 Profession:</w:t>
      </w:r>
      <w:r>
        <w:rPr>
          <w:rFonts w:ascii="Times New Roman" w:cs="Times New Roman" w:eastAsia="Times New Roman" w:hAnsi="Times New Roman"/>
          <w:sz w:val="24"/>
          <w:szCs w:val="24"/>
          <w:rtl w:val="0"/>
        </w:rPr>
        <w:t xml:space="preserve"> Software Engineer                   </w:t>
      </w:r>
      <w:r>
        <w:rPr>
          <w:rFonts w:ascii="Times New Roman" w:cs="Times New Roman" w:eastAsia="Times New Roman" w:hAnsi="Times New Roman"/>
          <w:b w:val="1"/>
          <w:bCs w:val="1"/>
          <w:sz w:val="24"/>
          <w:szCs w:val="24"/>
          <w:rtl w:val="0"/>
        </w:rPr>
        <w:t xml:space="preserve">Specialty</w:t>
      </w:r>
      <w:r>
        <w:rPr>
          <w:rFonts w:ascii="Times New Roman" w:cs="Times New Roman" w:eastAsia="Times New Roman" w:hAnsi="Times New Roman"/>
          <w:sz w:val="24"/>
          <w:szCs w:val="24"/>
          <w:rtl w:val="0"/>
        </w:rPr>
        <w:t xml:space="preserve">: SE  </w:t>
      </w:r>
      <w:r>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pos="2000"/>
          <w:tab w:val="left" w:pos="4500"/>
        </w:tabs>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 Kinds of person make registers:  </w:t>
      </w:r>
      <w:r>
        <w:rPr>
          <w:rFonts w:ascii="Times New Roman" w:cs="Times New Roman" w:eastAsia="Times New Roman" w:hAnsi="Times New Roman"/>
          <w:sz w:val="24"/>
          <w:szCs w:val="24"/>
          <w:rtl w:val="0"/>
        </w:rPr>
        <w:t xml:space="preserve">             </w:t>
        <w:tab/>
        <w:t xml:space="preserve">Lecturer     </w:t>
      </w:r>
      <w:r>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1. Register information for supervisor (if have)</w:t>
      </w:r>
      <w:r>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E-Mail</w:t>
            </w:r>
            <w:r>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Title</w:t>
            </w:r>
            <w:r>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1530" w:type="dxa"/>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955" w:type="dxa"/>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b/>
              <w:t xml:space="preserve">Lê Vũ Trường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850" w:type="dxa"/>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325" w:type="dxa"/>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Pr>
                <w:rFonts w:ascii="Times New Roman" w:cs="Times New Roman" w:eastAsia="Times New Roman" w:hAnsi="Times New Roman"/>
                <w:color w:val="0000ff"/>
                <w:sz w:val="24"/>
                <w:szCs w:val="24"/>
                <w:rtl w:val="0"/>
              </w:rPr>
              <w:t xml:space="preserve">truonglv23@fpt.edu.vn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450" w:type="dxa"/>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spacing w:before="240"/>
      </w:pPr>
      <w:r>
        <w:rPr>
          <w:rFonts w:ascii="Times New Roman" w:cs="Times New Roman" w:eastAsia="Times New Roman" w:hAnsi="Times New Roman"/>
          <w:b w:val="1"/>
          <w:bCs w:val="1"/>
          <w:sz w:val="24"/>
          <w:szCs w:val="24"/>
          <w:rtl w:val="0"/>
        </w:rPr>
        <w:t xml:space="preserve">2. Register information for students (if have)</w:t>
      </w:r>
      <w:r>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55"/>
            <w:gridCol w:w="2490"/>
            <w:gridCol w:w="1230"/>
            <w:gridCol w:w="1410"/>
            <w:gridCol w:w="3015"/>
            <w:gridCol w:w="14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sz w:val="24"/>
                <w:szCs w:val="24"/>
                <w:rtl w:val="0"/>
              </w:rPr>
              <w:t>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Full name</w:t>
            </w:r>
            <w:r>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Student code</w:t>
            </w:r>
            <w:r>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Phone</w:t>
            </w:r>
            <w:r>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E-mail</w:t>
            </w:r>
            <w:r>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Role in Group</w:t>
            </w:r>
            <w:r>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Nguyen Nhu Thanh</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SE182333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0912518309</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Pr>
                <w:rFonts w:ascii="Times New Roman" w:cs="Times New Roman" w:eastAsia="Times New Roman" w:hAnsi="Times New Roman"/>
                <w:color w:val="3333ff"/>
                <w:sz w:val="24"/>
                <w:szCs w:val="24"/>
                <w:rtl w:val="0"/>
              </w:rPr>
              <w:t xml:space="preserve">thanhnnse182333@fpt.edu.vn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Leader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Nguyen Thai Ngoc Nguyen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SE181554</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0949446307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Pr>
                <w:rFonts w:ascii="Times New Roman" w:cs="Times New Roman" w:eastAsia="Times New Roman" w:hAnsi="Times New Roman"/>
                <w:color w:val="3333ff"/>
                <w:sz w:val="24"/>
                <w:szCs w:val="24"/>
                <w:rtl w:val="0"/>
              </w:rPr>
              <w:t xml:space="preserve">nguyenntnse181554@fpt.edu.vn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Member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Ngo Phan Thanh Cong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SE182273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0333682263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Pr>
                <w:rFonts w:ascii="Times New Roman" w:cs="Times New Roman" w:eastAsia="Times New Roman" w:hAnsi="Times New Roman"/>
                <w:color w:val="3333ff"/>
                <w:sz w:val="24"/>
                <w:szCs w:val="24"/>
                <w:rtl w:val="0"/>
              </w:rPr>
              <w:t xml:space="preserve">congnptse182273@fpt.edu.vn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Member</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Nguyen Khang Binh</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SE182311</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0924150073</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Pr>
                <w:rFonts w:ascii="Times New Roman" w:cs="Times New Roman" w:eastAsia="Times New Roman" w:hAnsi="Times New Roman"/>
                <w:color w:val="3333ff"/>
                <w:sz w:val="24"/>
                <w:szCs w:val="24"/>
                <w:rtl w:val="0"/>
              </w:rPr>
              <w:t xml:space="preserve">binhnkse182311@fpt.edu.vn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Member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W w:w="510" w:type="dxa"/>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2545" w:type="dxa"/>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528" w:type="dxa"/>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3055" w:type="dxa"/>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W w:w="1019" w:type="dxa"/>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 Register content of Capstone Project</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 3.1. Capstone Project name:</w:t>
      </w:r>
      <w:r>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3.1.1. English: </w:t>
      </w:r>
      <w:r>
        <w:rPr>
          <w:b/>
          <w:i/>
          <w:u w:val="single"/>
        </w:rPr>
        <w:t xml:space="preserve">AdviseCare – Academic Advising and Student Welfare Management System</w:t>
      </w:r>
    </w:p>
    <w:p>
      <w:pPr>
        <w:jc w:val="both"/>
        <w:rPr>
          <w:rFonts w:ascii="Times New Roman" w:cs="Times New Roman" w:eastAsia="Times New Roman" w:hAnsi="Times New Roman"/>
          <w:sz w:val="24"/>
          <w:szCs w:val="24"/>
        </w:rPr>
      </w:pPr>
      <w:r>
        <w:rPr/>
        <w:t xml:space="preserve">3.1.2. Vietnamese: </w:t>
      </w:r>
      <w:r>
        <w:rPr>
          <w:b/>
          <w:i/>
          <w:u w:val="single"/>
        </w:rPr>
        <w:t xml:space="preserve">AdviseCare – Hệ thống quản lý công tác cố vấn học tập và chăm sóc đời sống sinh viên</w:t>
      </w:r>
    </w:p>
    <w:p>
      <w:pPr>
        <w:jc w:val="both"/>
        <w:rPr>
          <w:rFonts w:ascii="Times New Roman" w:cs="Times New Roman" w:eastAsia="Times New Roman" w:hAnsi="Times New Roman"/>
          <w:sz w:val="24"/>
          <w:szCs w:val="24"/>
        </w:rPr>
      </w:pPr>
      <w:r>
        <w:rPr>
          <w:b/>
        </w:rPr>
        <w:t xml:space="preserve">Abbreviation: AdviseCare</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spacing w:before="240"/>
      </w:pPr>
      <w:r>
        <w:rPr>
          <w:rFonts w:ascii="Times New Roman" w:cs="Times New Roman" w:eastAsia="Times New Roman" w:hAnsi="Times New Roman"/>
          <w:b/>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a) Context:</w:t>
      </w:r>
    </w:p>
    <w:p>
      <w:pPr>
        <w:ind w:firstLine="180"/>
        <w:jc w:val="both"/>
        <w:rPr>
          <w:rFonts w:ascii="Times New Roman" w:cs="Times New Roman" w:eastAsia="Times New Roman" w:hAnsi="Times New Roman"/>
          <w:sz w:val="24"/>
          <w:szCs w:val="24"/>
        </w:rPr>
      </w:pPr>
      <w:r>
        <w:rPr/>
        <w:t xml:space="preserve">At a Vietnamese university, a student who needs help — with a subject, a study plan, or with life outside class such as stress, accommodation, family or money — often does not know who to ask, and the number of advisors is limited. Learning portals such as FLM, FAP and LMS hold the course material, but finding the right person still depends on word of mouth. The problem is not a lack of goodwill from advisors but the absence of a channel that gets each request to the right person and keeps track of it.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Requests reach no one in particular:</w:t>
      </w:r>
      <w:r>
        <w:rPr/>
        <w:t xml:space="preserve"> students write to whoever they know — by email, messaging apps or in person — so a subject question may land with an advisor who does not teach it, and a money problem with someone who cannot act on it.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Nothing tracks a case once it starts:</w:t>
      </w:r>
      <w:r>
        <w:rPr/>
        <w:t xml:space="preserve"> there is no shared record of who is handling which student, what was agreed, or whether the case was passed on, so the history is lost at every hand-over.</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Academic, wellbeing and financial help are mixed together:</w:t>
      </w:r>
      <w:r>
        <w:rPr/>
        <w:t xml:space="preserve"> the same person is expected to answer course questions, listen to personal problems and arrange loans or banking paperwork, although these need different people with different authority.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Personal information is either lost or over-exposed:</w:t>
      </w:r>
      <w:r>
        <w:rPr/>
        <w:t xml:space="preserve"> family, financial or health details a student reveals to get help end up in private notes or chat histories; the student cannot choose which advisor may see which part, or take it back later.</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 risk score alone does not help:</w:t>
      </w:r>
      <w:r>
        <w:rPr/>
        <w:t xml:space="preserve"> a traffic-light risk dashboard (Purdue's Course Signals is the reference case) flags students but gets no one to the right advisor; what is missing is the matching and the follow-through.</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b) Proposed Solutions:</w:t>
      </w:r>
    </w:p>
    <w:p>
      <w:pPr>
        <w:ind w:firstLine="180"/>
        <w:jc w:val="both"/>
        <w:rPr>
          <w:rFonts w:ascii="Times New Roman" w:cs="Times New Roman" w:eastAsia="Times New Roman" w:hAnsi="Times New Roman"/>
          <w:sz w:val="24"/>
          <w:szCs w:val="24"/>
        </w:rPr>
      </w:pPr>
      <w:r>
        <w:rPr/>
        <w:t xml:space="preserve">AdviseCare is a web platform that matches each student's support request to a suitable advisor and tracks the case from request to closure. The student asks for help, chooses academic or wellbeing support and the topic, writes the reason and chooses which of their data to share; the Programme Head matches the case to a suitable advisor, and the system sends the student the advisor's contact information. Advisor and student then meet in the way they agree on, and every note, referral and decision is recorded on the case.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Support requests and advisor matching:</w:t>
      </w:r>
      <w:r>
        <w:rPr/>
        <w:t xml:space="preserve"> cases are opened by the student, or by an advisor reaching out based on the student's indicators; the Programme Head matches each case to an Academic Advisor (general or specialised in the subject) or a Wellbeing Advisor, and money matters are referred to the Student Welfare Officer.</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Consent-scoped student record:</w:t>
      </w:r>
      <w:r>
        <w:rPr/>
        <w:t xml:space="preserve"> the shareable data attributes are defined by the Data Protection Steward; the student consents per purpose, every access is checked against role, purpose and consent and logged, and each attribute is encrypted under its own key so withdrawal makes the data unreadable without breaking the audit trail.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Case tracking with history:</w:t>
      </w:r>
      <w:r>
        <w:rPr/>
        <w:t xml:space="preserve"> notes, stage changes and referrals are append-only, and indicator values are stored as new rows instead of being overwritten, so an advisor can view a student's record as it stood on any past date when needed.</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Indicators with stated sources:</w:t>
      </w:r>
      <w:r>
        <w:rPr/>
        <w:t xml:space="preserve"> attendance, grade and other indicators imported from Excel/CSV files or Google Sheets state where they came from and which are missing, so advisors can reach out to students who need help.</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c) Functional Requirements: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System Administrator:</w:t>
      </w:r>
    </w:p>
    <w:p>
      <w:pPr>
        <w:ind w:left="360"/>
        <w:tabs>
          <w:tab w:val="left" w:pos="720"/>
        </w:tabs>
        <w:jc w:val="both"/>
        <w:rPr>
          <w:rFonts w:ascii="Times New Roman" w:cs="Times New Roman" w:eastAsia="Times New Roman" w:hAnsi="Times New Roman"/>
          <w:sz w:val="24"/>
          <w:szCs w:val="24"/>
        </w:rPr>
      </w:pPr>
      <w:r>
        <w:rPr/>
        <w:t xml:space="preserve">•</w:t>
        <w:tab/>
        <w:t xml:space="preserve">Create accounts one by one or by bulk import (Excel/CSV, Google Sheet) and send account-linking emails</w:t>
      </w:r>
    </w:p>
    <w:p>
      <w:pPr>
        <w:ind w:left="360"/>
        <w:tabs>
          <w:tab w:val="left" w:pos="720"/>
        </w:tabs>
        <w:jc w:val="both"/>
        <w:rPr>
          <w:rFonts w:ascii="Times New Roman" w:cs="Times New Roman" w:eastAsia="Times New Roman" w:hAnsi="Times New Roman"/>
          <w:sz w:val="24"/>
          <w:szCs w:val="24"/>
        </w:rPr>
      </w:pPr>
      <w:r>
        <w:rPr/>
        <w:t xml:space="preserve">•</w:t>
        <w:tab/>
        <w:t xml:space="preserve">Manage roles and account status (activate/deactivate, ban/unban) from an account dashboard</w:t>
      </w:r>
    </w:p>
    <w:p>
      <w:pPr>
        <w:ind w:left="360"/>
        <w:tabs>
          <w:tab w:val="left" w:pos="720"/>
        </w:tabs>
        <w:jc w:val="both"/>
        <w:rPr>
          <w:rFonts w:ascii="Times New Roman" w:cs="Times New Roman" w:eastAsia="Times New Roman" w:hAnsi="Times New Roman"/>
          <w:sz w:val="24"/>
          <w:szCs w:val="24"/>
        </w:rPr>
      </w:pPr>
      <w:r>
        <w:rPr/>
        <w:t xml:space="preserve">•</w:t>
        <w:tab/>
        <w:t xml:space="preserve">Manage academic terms, faculties, subjects, advisor subject specialisations and support categories</w:t>
      </w:r>
    </w:p>
    <w:p>
      <w:pPr>
        <w:ind w:left="360"/>
        <w:tabs>
          <w:tab w:val="left" w:pos="720"/>
        </w:tabs>
        <w:jc w:val="both"/>
        <w:rPr>
          <w:rFonts w:ascii="Times New Roman" w:cs="Times New Roman" w:eastAsia="Times New Roman" w:hAnsi="Times New Roman"/>
          <w:sz w:val="24"/>
          <w:szCs w:val="24"/>
        </w:rPr>
      </w:pPr>
      <w:r>
        <w:rPr/>
        <w:t xml:space="preserve">•</w:t>
        <w:tab/>
        <w:t xml:space="preserve">Import student indicator data from files with all-or-nothing validation</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Data Protection Steward:</w:t>
      </w:r>
    </w:p>
    <w:p>
      <w:pPr>
        <w:ind w:left="360"/>
        <w:tabs>
          <w:tab w:val="left" w:pos="720"/>
        </w:tabs>
        <w:jc w:val="both"/>
        <w:rPr>
          <w:rFonts w:ascii="Times New Roman" w:cs="Times New Roman" w:eastAsia="Times New Roman" w:hAnsi="Times New Roman"/>
          <w:sz w:val="24"/>
          <w:szCs w:val="24"/>
        </w:rPr>
      </w:pPr>
      <w:r>
        <w:rPr/>
        <w:t xml:space="preserve">•</w:t>
        <w:tab/>
        <w:t xml:space="preserve">Define indicators and the shareable data attribute each one belongs to</w:t>
      </w:r>
    </w:p>
    <w:p>
      <w:pPr>
        <w:ind w:left="360"/>
        <w:tabs>
          <w:tab w:val="left" w:pos="720"/>
        </w:tabs>
        <w:jc w:val="both"/>
        <w:rPr>
          <w:rFonts w:ascii="Times New Roman" w:cs="Times New Roman" w:eastAsia="Times New Roman" w:hAnsi="Times New Roman"/>
          <w:sz w:val="24"/>
          <w:szCs w:val="24"/>
        </w:rPr>
      </w:pPr>
      <w:r>
        <w:rPr/>
        <w:t xml:space="preserve">•</w:t>
        <w:tab/>
        <w:t xml:space="preserve">Define consent purposes and the attributes each purpose covers</w:t>
      </w:r>
    </w:p>
    <w:p>
      <w:pPr>
        <w:ind w:left="360"/>
        <w:tabs>
          <w:tab w:val="left" w:pos="720"/>
        </w:tabs>
        <w:jc w:val="both"/>
        <w:rPr>
          <w:rFonts w:ascii="Times New Roman" w:cs="Times New Roman" w:eastAsia="Times New Roman" w:hAnsi="Times New Roman"/>
          <w:sz w:val="24"/>
          <w:szCs w:val="24"/>
        </w:rPr>
      </w:pPr>
      <w:r>
        <w:rPr/>
        <w:t xml:space="preserve">•</w:t>
        <w:tab/>
        <w:t xml:space="preserve">Configure access policies binding role, purpose and consent state</w:t>
      </w:r>
    </w:p>
    <w:p>
      <w:pPr>
        <w:ind w:left="360"/>
        <w:tabs>
          <w:tab w:val="left" w:pos="720"/>
        </w:tabs>
        <w:jc w:val="both"/>
        <w:rPr>
          <w:rFonts w:ascii="Times New Roman" w:cs="Times New Roman" w:eastAsia="Times New Roman" w:hAnsi="Times New Roman"/>
          <w:sz w:val="24"/>
          <w:szCs w:val="24"/>
        </w:rPr>
      </w:pPr>
      <w:r>
        <w:rPr/>
        <w:t xml:space="preserve">•</w:t>
        <w:tab/>
        <w:t xml:space="preserve">Review the access log and export processing records on demand</w:t>
      </w:r>
    </w:p>
    <w:p>
      <w:pPr>
        <w:ind w:left="360"/>
        <w:tabs>
          <w:tab w:val="left" w:pos="720"/>
        </w:tabs>
        <w:jc w:val="both"/>
        <w:rPr>
          <w:rFonts w:ascii="Times New Roman" w:cs="Times New Roman" w:eastAsia="Times New Roman" w:hAnsi="Times New Roman"/>
          <w:sz w:val="24"/>
          <w:szCs w:val="24"/>
        </w:rPr>
      </w:pPr>
      <w:r>
        <w:rPr/>
        <w:t xml:space="preserve">•</w:t>
        <w:tab/>
        <w:t xml:space="preserve">Approve or reject requests for out-of-scope emergency access</w:t>
      </w:r>
    </w:p>
    <w:p>
      <w:pPr>
        <w:ind w:left="360"/>
        <w:tabs>
          <w:tab w:val="left" w:pos="720"/>
        </w:tabs>
        <w:jc w:val="both"/>
        <w:rPr>
          <w:rFonts w:ascii="Times New Roman" w:cs="Times New Roman" w:eastAsia="Times New Roman" w:hAnsi="Times New Roman"/>
          <w:sz w:val="24"/>
          <w:szCs w:val="24"/>
        </w:rPr>
      </w:pPr>
      <w:r>
        <w:rPr/>
        <w:t xml:space="preserve">•</w:t>
        <w:tab/>
        <w:t xml:space="preserve">Execute verified erasure of withdrawn attribute data</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Academic Advisor and Wellbeing Advisor:</w:t>
      </w:r>
    </w:p>
    <w:p>
      <w:pPr>
        <w:ind w:left="360"/>
        <w:tabs>
          <w:tab w:val="left" w:pos="720"/>
        </w:tabs>
        <w:jc w:val="both"/>
        <w:rPr>
          <w:rFonts w:ascii="Times New Roman" w:cs="Times New Roman" w:eastAsia="Times New Roman" w:hAnsi="Times New Roman"/>
          <w:sz w:val="24"/>
          <w:szCs w:val="24"/>
        </w:rPr>
      </w:pPr>
      <w:r>
        <w:rPr/>
        <w:t xml:space="preserve">•</w:t>
        <w:tab/>
        <w:t xml:space="preserve">View assigned cases and open cases for students based on their indicators</w:t>
      </w:r>
    </w:p>
    <w:p>
      <w:pPr>
        <w:ind w:left="360"/>
        <w:tabs>
          <w:tab w:val="left" w:pos="720"/>
        </w:tabs>
        <w:jc w:val="both"/>
        <w:rPr>
          <w:rFonts w:ascii="Times New Roman" w:cs="Times New Roman" w:eastAsia="Times New Roman" w:hAnsi="Times New Roman"/>
          <w:sz w:val="24"/>
          <w:szCs w:val="24"/>
        </w:rPr>
      </w:pPr>
      <w:r>
        <w:rPr/>
        <w:t xml:space="preserve">•</w:t>
        <w:tab/>
        <w:t xml:space="preserve">Open a student profile with consented data, its sources and missing-data notices</w:t>
      </w:r>
    </w:p>
    <w:p>
      <w:pPr>
        <w:ind w:left="360"/>
        <w:tabs>
          <w:tab w:val="left" w:pos="720"/>
        </w:tabs>
        <w:jc w:val="both"/>
        <w:rPr>
          <w:rFonts w:ascii="Times New Roman" w:cs="Times New Roman" w:eastAsia="Times New Roman" w:hAnsi="Times New Roman"/>
          <w:sz w:val="24"/>
          <w:szCs w:val="24"/>
        </w:rPr>
      </w:pPr>
      <w:r>
        <w:rPr/>
        <w:t xml:space="preserve">•</w:t>
        <w:tab/>
        <w:t xml:space="preserve">Record case notes and agreed actions, and advance a case through its stages</w:t>
      </w:r>
    </w:p>
    <w:p>
      <w:pPr>
        <w:ind w:left="360"/>
        <w:tabs>
          <w:tab w:val="left" w:pos="720"/>
        </w:tabs>
        <w:jc w:val="both"/>
        <w:rPr>
          <w:rFonts w:ascii="Times New Roman" w:cs="Times New Roman" w:eastAsia="Times New Roman" w:hAnsi="Times New Roman"/>
          <w:sz w:val="24"/>
          <w:szCs w:val="24"/>
        </w:rPr>
      </w:pPr>
      <w:r>
        <w:rPr/>
        <w:t xml:space="preserve">•</w:t>
        <w:tab/>
        <w:t xml:space="preserve">Refer a case to another advisor, or refer money matters to the Student Welfare Officer</w:t>
      </w:r>
    </w:p>
    <w:p>
      <w:pPr>
        <w:ind w:left="360"/>
        <w:tabs>
          <w:tab w:val="left" w:pos="720"/>
        </w:tabs>
        <w:jc w:val="both"/>
        <w:rPr>
          <w:rFonts w:ascii="Times New Roman" w:cs="Times New Roman" w:eastAsia="Times New Roman" w:hAnsi="Times New Roman"/>
          <w:sz w:val="24"/>
          <w:szCs w:val="24"/>
        </w:rPr>
      </w:pPr>
      <w:r>
        <w:rPr/>
        <w:t xml:space="preserve">•</w:t>
        <w:tab/>
        <w:t xml:space="preserve">Reconstruct a student's record as it stood on a past date</w:t>
      </w:r>
    </w:p>
    <w:p>
      <w:pPr>
        <w:ind w:left="360"/>
        <w:tabs>
          <w:tab w:val="left" w:pos="720"/>
        </w:tabs>
        <w:jc w:val="both"/>
        <w:rPr>
          <w:rFonts w:ascii="Times New Roman" w:cs="Times New Roman" w:eastAsia="Times New Roman" w:hAnsi="Times New Roman"/>
          <w:sz w:val="24"/>
          <w:szCs w:val="24"/>
        </w:rPr>
      </w:pPr>
      <w:r>
        <w:rPr/>
        <w:t xml:space="preserve">•</w:t>
        <w:tab/>
        <w:t xml:space="preserve">Request additional consent scope from a student with stated purpose</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Student Welfare Officer:</w:t>
      </w:r>
    </w:p>
    <w:p>
      <w:pPr>
        <w:ind w:left="360"/>
        <w:tabs>
          <w:tab w:val="left" w:pos="720"/>
        </w:tabs>
        <w:jc w:val="both"/>
        <w:rPr>
          <w:rFonts w:ascii="Times New Roman" w:cs="Times New Roman" w:eastAsia="Times New Roman" w:hAnsi="Times New Roman"/>
          <w:sz w:val="24"/>
          <w:szCs w:val="24"/>
        </w:rPr>
      </w:pPr>
      <w:r>
        <w:rPr/>
        <w:t xml:space="preserve">•</w:t>
        <w:tab/>
        <w:t xml:space="preserve">Receive and triage financial referrals raised by advisors</w:t>
      </w:r>
    </w:p>
    <w:p>
      <w:pPr>
        <w:ind w:left="360"/>
        <w:tabs>
          <w:tab w:val="left" w:pos="720"/>
        </w:tabs>
        <w:jc w:val="both"/>
        <w:rPr>
          <w:rFonts w:ascii="Times New Roman" w:cs="Times New Roman" w:eastAsia="Times New Roman" w:hAnsi="Times New Roman"/>
          <w:sz w:val="24"/>
          <w:szCs w:val="24"/>
        </w:rPr>
      </w:pPr>
      <w:r>
        <w:rPr/>
        <w:t xml:space="preserve">•</w:t>
        <w:tab/>
        <w:t xml:space="preserve">Record interventions (loans, financial aid, banking paperwork), support grants and outcomes</w:t>
      </w:r>
    </w:p>
    <w:p>
      <w:pPr>
        <w:ind w:left="360"/>
        <w:tabs>
          <w:tab w:val="left" w:pos="720"/>
        </w:tabs>
        <w:jc w:val="both"/>
        <w:rPr>
          <w:rFonts w:ascii="Times New Roman" w:cs="Times New Roman" w:eastAsia="Times New Roman" w:hAnsi="Times New Roman"/>
          <w:sz w:val="24"/>
          <w:szCs w:val="24"/>
        </w:rPr>
      </w:pPr>
      <w:r>
        <w:rPr/>
        <w:t xml:space="preserve">•</w:t>
        <w:tab/>
        <w:t xml:space="preserve">Link a student to external services such as money-lending services and track follow-up</w:t>
      </w:r>
    </w:p>
    <w:p>
      <w:pPr>
        <w:ind w:left="360"/>
        <w:tabs>
          <w:tab w:val="left" w:pos="720"/>
        </w:tabs>
        <w:jc w:val="both"/>
        <w:rPr>
          <w:rFonts w:ascii="Times New Roman" w:cs="Times New Roman" w:eastAsia="Times New Roman" w:hAnsi="Times New Roman"/>
          <w:sz w:val="24"/>
          <w:szCs w:val="24"/>
        </w:rPr>
      </w:pPr>
      <w:r>
        <w:rPr/>
        <w:t xml:space="preserve">•</w:t>
        <w:tab/>
        <w:t xml:space="preserve">Escalate cases beyond the officer's authority to the Programme Head</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Student:</w:t>
      </w:r>
    </w:p>
    <w:p>
      <w:pPr>
        <w:ind w:left="360"/>
        <w:tabs>
          <w:tab w:val="left" w:pos="720"/>
        </w:tabs>
        <w:jc w:val="both"/>
        <w:rPr>
          <w:rFonts w:ascii="Times New Roman" w:cs="Times New Roman" w:eastAsia="Times New Roman" w:hAnsi="Times New Roman"/>
          <w:sz w:val="24"/>
          <w:szCs w:val="24"/>
        </w:rPr>
      </w:pPr>
      <w:r>
        <w:rPr/>
        <w:t xml:space="preserve">•</w:t>
        <w:tab/>
        <w:t xml:space="preserve">Request support: choose support type, category or subject, reason and data to share</w:t>
      </w:r>
    </w:p>
    <w:p>
      <w:pPr>
        <w:ind w:left="360"/>
        <w:tabs>
          <w:tab w:val="left" w:pos="720"/>
        </w:tabs>
        <w:jc w:val="both"/>
        <w:rPr>
          <w:rFonts w:ascii="Times New Roman" w:cs="Times New Roman" w:eastAsia="Times New Roman" w:hAnsi="Times New Roman"/>
          <w:sz w:val="24"/>
          <w:szCs w:val="24"/>
        </w:rPr>
      </w:pPr>
      <w:r>
        <w:rPr/>
        <w:t xml:space="preserve">•</w:t>
        <w:tab/>
        <w:t xml:space="preserve">Receive the matched advisor's contact information and track own cases</w:t>
      </w:r>
    </w:p>
    <w:p>
      <w:pPr>
        <w:ind w:left="360"/>
        <w:tabs>
          <w:tab w:val="left" w:pos="720"/>
        </w:tabs>
        <w:jc w:val="both"/>
        <w:rPr>
          <w:rFonts w:ascii="Times New Roman" w:cs="Times New Roman" w:eastAsia="Times New Roman" w:hAnsi="Times New Roman"/>
          <w:sz w:val="24"/>
          <w:szCs w:val="24"/>
        </w:rPr>
      </w:pPr>
      <w:r>
        <w:rPr/>
        <w:t xml:space="preserve">•</w:t>
        <w:tab/>
        <w:t xml:space="preserve">Grant, narrow or withdraw consent per purpose and respond to consent requests</w:t>
      </w:r>
    </w:p>
    <w:p>
      <w:pPr>
        <w:ind w:left="360"/>
        <w:tabs>
          <w:tab w:val="left" w:pos="720"/>
        </w:tabs>
        <w:jc w:val="both"/>
        <w:rPr>
          <w:rFonts w:ascii="Times New Roman" w:cs="Times New Roman" w:eastAsia="Times New Roman" w:hAnsi="Times New Roman"/>
          <w:sz w:val="24"/>
          <w:szCs w:val="24"/>
        </w:rPr>
      </w:pPr>
      <w:r>
        <w:rPr/>
        <w:t xml:space="preserve">•</w:t>
        <w:tab/>
        <w:t xml:space="preserve">View own profile, indicators, sources and access log, and export own record</w:t>
      </w:r>
    </w:p>
    <w:p>
      <w:pPr>
        <w:ind w:left="360"/>
        <w:tabs>
          <w:tab w:val="left" w:pos="720"/>
        </w:tabs>
        <w:jc w:val="both"/>
        <w:rPr>
          <w:rFonts w:ascii="Times New Roman" w:cs="Times New Roman" w:eastAsia="Times New Roman" w:hAnsi="Times New Roman"/>
          <w:sz w:val="24"/>
          <w:szCs w:val="24"/>
        </w:rPr>
      </w:pPr>
      <w:r>
        <w:rPr/>
        <w:t xml:space="preserve">•</w:t>
        <w:tab/>
        <w:t xml:space="preserve">Request correction of an incorrect fact with advisor review</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Programme Head:</w:t>
      </w:r>
    </w:p>
    <w:p>
      <w:pPr>
        <w:ind w:left="360"/>
        <w:tabs>
          <w:tab w:val="left" w:pos="720"/>
        </w:tabs>
        <w:jc w:val="both"/>
        <w:rPr>
          <w:rFonts w:ascii="Times New Roman" w:cs="Times New Roman" w:eastAsia="Times New Roman" w:hAnsi="Times New Roman"/>
          <w:sz w:val="24"/>
          <w:szCs w:val="24"/>
        </w:rPr>
      </w:pPr>
      <w:r>
        <w:rPr/>
        <w:t xml:space="preserve">•</w:t>
        <w:tab/>
        <w:t xml:space="preserve">Match unassigned cases to suitable advisors (manual matching)</w:t>
      </w:r>
    </w:p>
    <w:p>
      <w:pPr>
        <w:ind w:left="360"/>
        <w:tabs>
          <w:tab w:val="left" w:pos="720"/>
        </w:tabs>
        <w:jc w:val="both"/>
        <w:rPr>
          <w:rFonts w:ascii="Times New Roman" w:cs="Times New Roman" w:eastAsia="Times New Roman" w:hAnsi="Times New Roman"/>
          <w:sz w:val="24"/>
          <w:szCs w:val="24"/>
        </w:rPr>
      </w:pPr>
      <w:r>
        <w:rPr/>
        <w:t xml:space="preserve">•</w:t>
        <w:tab/>
        <w:t xml:space="preserve">Approve advisor assignment changes and respond to escalations</w:t>
      </w:r>
    </w:p>
    <w:p>
      <w:pPr>
        <w:ind w:left="360"/>
        <w:tabs>
          <w:tab w:val="left" w:pos="720"/>
        </w:tabs>
        <w:jc w:val="both"/>
        <w:rPr>
          <w:rFonts w:ascii="Times New Roman" w:cs="Times New Roman" w:eastAsia="Times New Roman" w:hAnsi="Times New Roman"/>
          <w:sz w:val="24"/>
          <w:szCs w:val="24"/>
        </w:rPr>
      </w:pPr>
      <w:r>
        <w:rPr/>
        <w:t xml:space="preserve">•</w:t>
        <w:tab/>
        <w:t xml:space="preserve">List, report and export cases in a time range, including caseload volume and closure times</w:t>
      </w:r>
    </w:p>
    <w:p>
      <w:pPr>
        <w:jc w:val="both"/>
        <w:rPr>
          <w:rFonts w:ascii="Times New Roman" w:cs="Times New Roman" w:eastAsia="Times New Roman" w:hAnsi="Times New Roman"/>
          <w:sz w:val="24"/>
          <w:szCs w:val="24"/>
        </w:rPr>
      </w:pP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All authenticated users:</w:t>
      </w:r>
    </w:p>
    <w:p>
      <w:pPr>
        <w:ind w:left="360"/>
        <w:tabs>
          <w:tab w:val="left" w:pos="720"/>
        </w:tabs>
        <w:jc w:val="both"/>
        <w:rPr>
          <w:rFonts w:ascii="Times New Roman" w:cs="Times New Roman" w:eastAsia="Times New Roman" w:hAnsi="Times New Roman"/>
          <w:sz w:val="24"/>
          <w:szCs w:val="24"/>
        </w:rPr>
      </w:pPr>
      <w:r>
        <w:rPr/>
        <w:t xml:space="preserve">•</w:t>
        <w:tab/>
        <w:t xml:space="preserve">Sign in with a personal Google account or a password</w:t>
      </w:r>
    </w:p>
    <w:p>
      <w:pPr>
        <w:ind w:left="360"/>
        <w:tabs>
          <w:tab w:val="left" w:pos="720"/>
        </w:tabs>
        <w:jc w:val="both"/>
        <w:rPr>
          <w:rFonts w:ascii="Times New Roman" w:cs="Times New Roman" w:eastAsia="Times New Roman" w:hAnsi="Times New Roman"/>
          <w:sz w:val="24"/>
          <w:szCs w:val="24"/>
        </w:rPr>
      </w:pPr>
      <w:r>
        <w:rPr/>
        <w:t xml:space="preserve">•</w:t>
        <w:tab/>
        <w:t xml:space="preserve">Receive in-app and email notifications for cases, referrals, consent requests and escalations</w:t>
      </w:r>
    </w:p>
    <w:p>
      <w:pPr>
        <w:ind w:left="360"/>
        <w:tabs>
          <w:tab w:val="left" w:pos="720"/>
        </w:tabs>
        <w:jc w:val="both"/>
        <w:rPr>
          <w:rFonts w:ascii="Times New Roman" w:cs="Times New Roman" w:eastAsia="Times New Roman" w:hAnsi="Times New Roman"/>
          <w:sz w:val="24"/>
          <w:szCs w:val="24"/>
        </w:rPr>
      </w:pPr>
      <w:r>
        <w:rPr/>
        <w:t xml:space="preserve">•</w:t>
        <w:tab/>
        <w:t xml:space="preserve">Switch interface language between Vietnamese and English</w:t>
      </w:r>
    </w:p>
    <w:p>
      <w:pPr>
        <w:ind w:left="360"/>
        <w:tabs>
          <w:tab w:val="left" w:pos="720"/>
        </w:tabs>
        <w:jc w:val="both"/>
        <w:rPr>
          <w:rFonts w:ascii="Times New Roman" w:cs="Times New Roman" w:eastAsia="Times New Roman" w:hAnsi="Times New Roman"/>
          <w:sz w:val="24"/>
          <w:szCs w:val="24"/>
        </w:rPr>
      </w:pPr>
      <w:r>
        <w:rPr/>
        <w:t xml:space="preserve">•</w:t>
        <w:tab/>
        <w:t xml:space="preserve">View own activity history and account settings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d) Non-Functional Requirements: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Functionality:</w:t>
      </w:r>
      <w:r>
        <w:rPr/>
        <w:t xml:space="preserve"> Access is decided by role, purpose and consent state together; lacking a valid scope, an advisor sees an attribute's absence, never its value.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Reliability:</w:t>
      </w:r>
      <w:r>
        <w:rPr/>
        <w:t xml:space="preserve"> No finalized note, stage change, referral or decision may be edited, indicator history is stored as new rows instead of updates, and consent withdrawal makes the attribute data unreadable without invalidating decisions citing it.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Usability:</w:t>
      </w:r>
      <w:r>
        <w:rPr/>
        <w:t xml:space="preserve"> Every indicator an advisor sees states its source and whether data is missing, and the whole interface is available in Vietnamese and English.</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Efficiency:</w:t>
      </w:r>
      <w:r>
        <w:rPr/>
        <w:t xml:space="preserve"> An advisor's case list of one hundred and fifty students with current indicators renders within three seconds.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Maintainability:</w:t>
      </w:r>
      <w:r>
        <w:rPr/>
        <w:t xml:space="preserve"> Indicators, support categories, subjects and consent purposes are configuration data managed in the application, changeable without redeployment or schema migration.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Portability:</w:t>
      </w:r>
      <w:r>
        <w:rPr/>
        <w:t xml:space="preserve"> A student exports their full record and access log as machine-readable JSON, and the platform deploys as containers on cloud container hosting (Render, MonsterASP).</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e) Theory &amp; Practical:</w:t>
      </w:r>
    </w:p>
    <w:p>
      <w:pPr>
        <w:jc w:val="both"/>
        <w:rPr>
          <w:rFonts w:ascii="Times New Roman" w:cs="Times New Roman" w:eastAsia="Times New Roman" w:hAnsi="Times New Roman"/>
          <w:sz w:val="24"/>
          <w:szCs w:val="24"/>
        </w:rPr>
      </w:pPr>
      <w:r>
        <w:rPr>
          <w:b/>
        </w:rPr>
        <w:t xml:space="preserve">Theory</w:t>
      </w:r>
    </w:p>
    <w:p>
      <w:pPr>
        <w:ind w:firstLine="180"/>
        <w:jc w:val="both"/>
        <w:rPr>
          <w:rFonts w:ascii="Times New Roman" w:cs="Times New Roman" w:eastAsia="Times New Roman" w:hAnsi="Times New Roman"/>
          <w:sz w:val="24"/>
          <w:szCs w:val="24"/>
        </w:rPr>
      </w:pPr>
      <w:r>
        <w:rPr/>
        <w:t xml:space="preserve">The project draws on privacy-preserving access control, temporal data modelling, provenance modelling, applied data protection law and student-support case management practice.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Purpose-based access control (Byun and Li, The VLDB Journal):</w:t>
      </w:r>
      <w:r>
        <w:rPr/>
        <w:t xml:space="preserve"> intended and access purposes attached to data elements give the authorisation model for consent scopes.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Temporal data modelling (Snodgrass):</w:t>
      </w:r>
      <w:r>
        <w:rPr/>
        <w:t xml:space="preserve"> keeping valid time and transaction time on insert-only rows is what lets an advisor see a student's record as it stood on a given date.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W3C PROV data model:</w:t>
      </w:r>
      <w:r>
        <w:rPr/>
        <w:t xml:space="preserve"> each imported indicator states where it came from, which is how completeness becomes displayable.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Cryptographic erasure with per-attribute keys:</w:t>
      </w:r>
      <w:r>
        <w:rPr/>
        <w:t xml:space="preserve"> destroying a key rather than a row reconciles a right to withdraw with append-only history.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Vietnam Law on Personal Data Protection No. 91/2025/QH15 and Decree 13/2023/ND-CP:</w:t>
      </w:r>
      <w:r>
        <w:rPr/>
        <w:t xml:space="preserve"> sensitive-data consent, withdrawal and processing-record duties that the data model must satisfy by construction.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Jisc Code of Practice for Learning Analytics:</w:t>
      </w:r>
      <w:r>
        <w:rPr/>
        <w:t xml:space="preserve"> the obligations to state purpose, keep a human in every decision, and let students see and correct their data.</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Tinto's interactionist model of student departure:</w:t>
      </w:r>
      <w:r>
        <w:rPr/>
        <w:t xml:space="preserve"> why academic and wellbeing support are handled by different advisors instead of one generic contact.</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Student-success case management (EAB Navigate360, Starfish):</w:t>
      </w:r>
      <w:r>
        <w:rPr/>
        <w:t xml:space="preserve"> referral, hand-over and escalation between advisors, welfare staff and leadership, which shapes the case stages and the referral trail.</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Practical</w:t>
      </w:r>
    </w:p>
    <w:p>
      <w:pPr>
        <w:ind w:firstLine="180"/>
        <w:jc w:val="both"/>
        <w:rPr>
          <w:rFonts w:ascii="Times New Roman" w:cs="Times New Roman" w:eastAsia="Times New Roman" w:hAnsi="Times New Roman"/>
          <w:sz w:val="24"/>
          <w:szCs w:val="24"/>
        </w:rPr>
      </w:pPr>
      <w:r>
        <w:rPr/>
        <w:t xml:space="preserve">The theory becomes a deployed system through the following engineering work.</w:t>
      </w:r>
    </w:p>
    <w:p>
      <w:pPr>
        <w:ind w:left="0"/>
        <w:tabs>
          <w:tab w:val="left" w:pos="360"/>
        </w:tabs>
        <w:jc w:val="both"/>
        <w:rPr>
          <w:rFonts w:ascii="Times New Roman" w:cs="Times New Roman" w:eastAsia="Times New Roman" w:hAnsi="Times New Roman"/>
          <w:sz w:val="24"/>
          <w:szCs w:val="24"/>
        </w:rPr>
      </w:pPr>
      <w:r>
        <w:rPr/>
        <w:t xml:space="preserve">-Design the database with insert-only indicator history and a per-attribute key store; benchmark point-in-time queries</w:t>
        <w:tab/>
        <w:t xml:space="preserve"/>
      </w:r>
    </w:p>
    <w:p>
      <w:pPr>
        <w:ind w:left="0"/>
        <w:tabs>
          <w:tab w:val="left" w:pos="360"/>
        </w:tabs>
        <w:jc w:val="both"/>
        <w:rPr>
          <w:rFonts w:ascii="Times New Roman" w:cs="Times New Roman" w:eastAsia="Times New Roman" w:hAnsi="Times New Roman"/>
          <w:sz w:val="24"/>
          <w:szCs w:val="24"/>
        </w:rPr>
      </w:pPr>
      <w:r>
        <w:rPr/>
        <w:t xml:space="preserve">-Implement the consent registry and access policy decision point</w:t>
        <w:tab/>
        <w:t xml:space="preserve"/>
      </w:r>
    </w:p>
    <w:p>
      <w:pPr>
        <w:ind w:left="0"/>
        <w:tabs>
          <w:tab w:val="left" w:pos="360"/>
        </w:tabs>
        <w:jc w:val="both"/>
        <w:rPr>
          <w:rFonts w:ascii="Times New Roman" w:cs="Times New Roman" w:eastAsia="Times New Roman" w:hAnsi="Times New Roman"/>
          <w:sz w:val="24"/>
          <w:szCs w:val="24"/>
        </w:rPr>
      </w:pPr>
      <w:r>
        <w:rPr/>
        <w:t xml:space="preserve">-Build the support request, case matching and advisor case workflow interfaces</w:t>
        <w:tab/>
        <w:t xml:space="preserve"/>
      </w:r>
    </w:p>
    <w:p>
      <w:pPr>
        <w:ind w:left="0"/>
        <w:tabs>
          <w:tab w:val="left" w:pos="360"/>
        </w:tabs>
        <w:jc w:val="both"/>
        <w:rPr>
          <w:rFonts w:ascii="Times New Roman" w:cs="Times New Roman" w:eastAsia="Times New Roman" w:hAnsi="Times New Roman"/>
          <w:sz w:val="24"/>
          <w:szCs w:val="24"/>
        </w:rPr>
      </w:pPr>
      <w:r>
        <w:rPr/>
        <w:t xml:space="preserve">-Import indicator data from Excel/CSV files and Google Sheets with all-or-nothing validation</w:t>
        <w:tab/>
        <w:t xml:space="preserve"/>
      </w:r>
    </w:p>
    <w:p>
      <w:pPr>
        <w:ind w:left="0"/>
        <w:tabs>
          <w:tab w:val="left" w:pos="360"/>
        </w:tabs>
        <w:jc w:val="both"/>
        <w:rPr>
          <w:rFonts w:ascii="Times New Roman" w:cs="Times New Roman" w:eastAsia="Times New Roman" w:hAnsi="Times New Roman"/>
          <w:sz w:val="24"/>
          <w:szCs w:val="24"/>
        </w:rPr>
      </w:pPr>
      <w:r>
        <w:rPr/>
        <w:t xml:space="preserve">-Integrate Google sign-in and email notifications for account linking and advisor contact details</w:t>
        <w:tab/>
        <w:t xml:space="preserve"/>
      </w:r>
    </w:p>
    <w:p>
      <w:pPr>
        <w:ind w:left="0"/>
        <w:tabs>
          <w:tab w:val="left" w:pos="360"/>
        </w:tabs>
        <w:jc w:val="both"/>
        <w:rPr>
          <w:rFonts w:ascii="Times New Roman" w:cs="Times New Roman" w:eastAsia="Times New Roman" w:hAnsi="Times New Roman"/>
          <w:sz w:val="24"/>
          <w:szCs w:val="24"/>
        </w:rPr>
      </w:pPr>
      <w:r>
        <w:rPr/>
        <w:t xml:space="preserve">-Containerise and deploy via CI/CD on cloud container hosting (Render, MonsterASP)</w:t>
        <w:tab/>
        <w:t xml:space="preserve"/>
      </w:r>
    </w:p>
    <w:p>
      <w:pPr>
        <w:ind w:left="0"/>
        <w:tabs>
          <w:tab w:val="left" w:pos="360"/>
        </w:tabs>
        <w:jc w:val="both"/>
        <w:rPr>
          <w:rFonts w:ascii="Times New Roman" w:cs="Times New Roman" w:eastAsia="Times New Roman" w:hAnsi="Times New Roman"/>
          <w:sz w:val="24"/>
          <w:szCs w:val="24"/>
        </w:rPr>
      </w:pPr>
      <w:r>
        <w:rPr/>
        <w:t xml:space="preserve">-Run usability testing with advisors and students on the request and consent screens</w:t>
        <w:tab/>
        <w:t xml:space="preserve"/>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f) Products (Expected Deliverables):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AdviseCare web platform:</w:t>
      </w:r>
      <w:r>
        <w:rPr/>
        <w:t xml:space="preserve"> support requests, manual case matching, advisor workspace, case workflow and referrals, welfare support, student self-service portal and reporting.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Consent and access control layer:</w:t>
      </w:r>
      <w:r>
        <w:rPr/>
        <w:t xml:space="preserve"> documented API for purpose-based authorisation, consent grants, withdrawal, erasure and access logging.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Support configuration specification:</w:t>
      </w:r>
      <w:r>
        <w:rPr/>
        <w:t xml:space="preserve"> indicator and data attribute definitions, consent purposes, support categories and subject specialisations used for matching.</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Documentation set:</w:t>
      </w:r>
      <w:r>
        <w:rPr/>
        <w:t xml:space="preserve"> SRS, SDD, database design, test plan and report, deployment guide, bilingual user manual.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Demonstration dataset:</w:t>
      </w:r>
      <w:r>
        <w:rPr/>
        <w:t xml:space="preserve"> a synthetic cohort of students with consent states, attendance, grades, support cases, referrals and welfare records.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Final presentation package:</w:t>
      </w:r>
      <w:r>
        <w:rPr/>
        <w:t xml:space="preserve"> demonstration video, slide deck, source repository with build and deployment instructions.</w:t>
      </w:r>
    </w:p>
    <w:p>
      <w:pPr>
        <w:jc w:val="both"/>
        <w:rPr>
          <w:rFonts w:ascii="Times New Roman" w:cs="Times New Roman" w:eastAsia="Times New Roman" w:hAnsi="Times New Roman"/>
          <w:sz w:val="24"/>
          <w:szCs w:val="24"/>
        </w:rPr>
      </w:pPr>
    </w:p>
    <w:p>
      <w:pPr>
        <w:jc w:val="both"/>
        <w:rPr>
          <w:rFonts w:ascii="Times New Roman" w:cs="Times New Roman" w:eastAsia="Times New Roman" w:hAnsi="Times New Roman"/>
          <w:sz w:val="24"/>
          <w:szCs w:val="24"/>
        </w:rPr>
      </w:pPr>
      <w:r>
        <w:rPr>
          <w:b/>
        </w:rPr>
        <w:t xml:space="preserve">g) Proposed Tasks:</w:t>
      </w:r>
    </w:p>
    <w:p>
      <w:pPr>
        <w:ind w:firstLine="180"/>
        <w:jc w:val="both"/>
        <w:rPr>
          <w:rFonts w:ascii="Times New Roman" w:cs="Times New Roman" w:eastAsia="Times New Roman" w:hAnsi="Times New Roman"/>
          <w:sz w:val="24"/>
          <w:szCs w:val="24"/>
        </w:rPr>
      </w:pPr>
      <w:r>
        <w:rPr/>
        <w:t xml:space="preserve">Four members share five work packages, collaborating across packages during integration and evaluation. Minimum viable scope is account onboarding, support requests with manual matching, the advisor case workflow and the consent registry; scheduled data ingestion, automated matching, in-app scheduling and chat are future extensions. Because the consent and history models constrain every other package, WP2 and WP3 must stabilise early.</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WP1 – Project Management and Domain Analysis (Role: Project Manager / Business Analyst):</w:t>
      </w:r>
      <w:r>
        <w:rPr/>
        <w:t xml:space="preserve"> scope and elicitation with advisors and students, domain model, consent purpose and support category catalogue, documentation set and defence package.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WP2 – Consent and Access Control (Role: Backend / Security Engineer):</w:t>
      </w:r>
      <w:r>
        <w:rPr/>
        <w:t xml:space="preserve"> consent registry, purpose-based policy decision point, per-attribute key management and cryptographic erasure, access logging and processing records.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WP3 – Support Cases, Matching and Case Workflow (Role: Backend Developer):</w:t>
      </w:r>
      <w:r>
        <w:rPr/>
        <w:t xml:space="preserve"> support requests, manual matching by the Programme Head, case stages, notes, referrals, escalations and point-in-time view.</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WP4 – Accounts, Indicator Import and Notifications (Role: Backend / Integration Developer):</w:t>
      </w:r>
      <w:r>
        <w:rPr/>
        <w:t xml:space="preserve"> bulk account import, Google sign-in and account linking, indicator file import with provenance, email and in-app notifications.</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WP5 – Portals, QA and Deployment (Role: Frontend Developer / QA Engineer):</w:t>
      </w:r>
      <w:r>
        <w:rPr/>
        <w:t xml:space="preserve"> student, advisor, welfare officer, Programme Head and admin interfaces, test automation, containerisation and CI/CD.</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spacing w:before="240"/>
      </w:pPr>
      <w:r>
        <w:rPr>
          <w:rFonts w:ascii="Times New Roman" w:cs="Times New Roman" w:eastAsia="Times New Roman" w:hAnsi="Times New Roman"/>
          <w:b/>
          <w:sz w:val="24"/>
          <w:szCs w:val="24"/>
          <w:rtl w:val="0"/>
        </w:rPr>
        <w:t xml:space="preserve">4. Other comments (propose all relative things if have): </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Matching and follow-through is the contribution, not a dashboard:</w:t>
      </w:r>
      <w:r>
        <w:rPr/>
        <w:t xml:space="preserve"> the demonstration must show a student's request reaching the right advisor, the case being handed over with its history intact, and a consent withdrawal that makes data unreadable without breaking the audit trail.</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History, per-attribute keys and access logging cannot be retrofitted:</w:t>
      </w:r>
      <w:r>
        <w:rPr/>
        <w:t xml:space="preserve"> if the team starts with tables that are updated in place intending to add history later, point-in-time views and selective erasure will not arrive.</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The data risk is the school, not the code:</w:t>
      </w:r>
      <w:r>
        <w:rPr/>
        <w:t xml:space="preserve"> the school offers no data source or API for FAP, FLM or LMS, so indicator data comes from file imports; scheduled ingestion stays a future extension.</w:t>
      </w:r>
    </w:p>
    <w:p>
      <w:pPr>
        <w:ind w:left="0"/>
        <w:tabs>
          <w:tab w:val="left" w:pos="360"/>
        </w:tabs>
        <w:jc w:val="both"/>
        <w:rPr>
          <w:rFonts w:ascii="Times New Roman" w:cs="Times New Roman" w:eastAsia="Times New Roman" w:hAnsi="Times New Roman"/>
          <w:sz w:val="24"/>
          <w:szCs w:val="24"/>
        </w:rPr>
      </w:pPr>
      <w:r>
        <w:rPr/>
        <w:t xml:space="preserve">-</w:t>
        <w:tab/>
      </w:r>
      <w:r>
        <w:rPr>
          <w:b/>
        </w:rPr>
        <w:t xml:space="preserve">Real student data is loaded only after consent and approval:</w:t>
      </w:r>
      <w:r>
        <w:rPr/>
        <w:t xml:space="preserve"> development, testing and the defence demonstration run entirely on a synthetic cohort.</w:t>
      </w:r>
    </w:p>
    <w:tbl>
      <w:tblPr>
        <w:tblStyle w:val="Table3"/>
        <w:tblW w:w="8850.0" w:type="dxa"/>
        <w:jc w:val="left"/>
        <w:tblBorders>
          <w:top w:color="808080" w:space="0" w:sz="0" w:val="nil"/>
          <w:left w:color="808080" w:space="0" w:sz="0" w:val="nil"/>
          <w:bottom w:color="808080" w:space="0" w:sz="0" w:val="nil"/>
          <w:right w:color="808080" w:space="0" w:sz="0" w:val="nil"/>
          <w:insideH w:color="808080" w:space="0" w:sz="0" w:val="nil"/>
          <w:insideV w:color="80808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Supervisor (If have)</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c>
        <w:tc>
          <w:tcPr>
            <w:tcBorders>
              <w:top w:color="808080" w:space="0" w:sz="0" w:val="nil"/>
              <w:left w:color="808080" w:space="0" w:sz="0" w:val="nil"/>
              <w:bottom w:color="808080" w:space="0" w:sz="0" w:val="nil"/>
              <w:right w:color="808080" w:space="0" w:sz="0" w:val="nil"/>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HCM, date 02/09/2026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On behalf of Registers </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 xml:space="preserve">(Sign and full name)</w:t>
            </w:r>
            <w:r>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