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Guide de surveillance (version de démonstration)</w:t>
      </w:r>
    </w:p>
    <w:p>
      <w:r>
        <w:t>Ce document est un exemple générique fourni avec le dépôt public de DAN. Il ne reprend aucun document réglementaire ou interne : remplacez-le par le guide de votre propre organisation (Paramètres &gt; Guide de surveillance).</w:t>
      </w:r>
    </w:p>
    <w:p>
      <w:pPr>
        <w:pStyle w:val="Heading2"/>
      </w:pPr>
      <w:r>
        <w:t>Principe</w:t>
      </w:r>
    </w:p>
    <w:p>
      <w:r>
        <w:t>Chaque participant transmet un reporting mensuel listant des événements (survenus ou non). DAN rapproche ces événements d'une table de correspondance de risques, calcule un score de gravité et produit des rapports.</w:t>
      </w:r>
    </w:p>
    <w:p>
      <w:pPr>
        <w:pStyle w:val="Heading2"/>
      </w:pPr>
      <w:r>
        <w:t>Codification des références</w:t>
      </w:r>
    </w:p>
    <w:p>
      <w:r>
        <w:t>Format : RP + domaine (SYG, SWI, SYS, RES) + site (PS ou PA) + numéro à deux chiffres. Exemple : RPSYGPS01.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