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D97745"/>
          <w:sz w:val="18"/>
        </w:rPr>
        <w:t>WTI 原油价格驱动因子分析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i w:val="0"/>
          <w:color w:val="17324D"/>
          <w:sz w:val="48"/>
        </w:rPr>
        <w:t>WTI周度波动：金融条件相关，下周难预测</w:t>
      </w:r>
    </w:p>
    <w:p>
      <w:pPr>
        <w:pStyle w:val="Subtitle"/>
        <w:jc w:val="center"/>
      </w:pPr>
      <w:r>
        <w:rPr>
          <w:rFonts w:ascii="Calibri" w:hAnsi="Calibri" w:eastAsia="Microsoft YaHei"/>
          <w:b w:val="0"/>
          <w:i w:val="0"/>
          <w:color w:val="667085"/>
          <w:sz w:val="26"/>
        </w:rPr>
        <w:t>基于7个官方序列、1,076周数据和240周样本外测试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3C8D8A"/>
          <w:sz w:val="17"/>
        </w:rPr>
        <w:t>匿名商业研究案例｜数据下载于2026-08-20｜完整共同样本截至2026-08-14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F6B9A"/>
          <w:sz w:val="23"/>
        </w:rPr>
        <w:t>一页结论</w:t>
      </w:r>
    </w:p>
    <w:p>
      <w:pPr>
        <w:spacing w:after="110" w:line="259" w:lineRule="auto"/>
        <w:ind w:firstLine="0"/>
        <w:jc w:val="both"/>
      </w:pPr>
      <w:r>
        <w:rPr>
          <w:rFonts w:ascii="Calibri" w:hAnsi="Calibri" w:eastAsia="Microsoft YaHei"/>
          <w:b/>
          <w:i w:val="0"/>
          <w:color w:val="17324D"/>
          <w:sz w:val="21"/>
        </w:rPr>
        <w:t>从同期回归剔除机械包含WTI变动的价差指标后，美元和VIX与当周WTI收益呈显著负向关系，但多元回归的R²只有0.0763。用同一组变量预测下一周时，Ridge和XGBoost均未超过历史均值基准，方向判断也接近随机。</w:t>
      </w:r>
    </w:p>
    <w:p>
      <w:pPr>
        <w:spacing w:after="90" w:line="259" w:lineRule="auto"/>
        <w:ind w:firstLine="360"/>
        <w:jc w:val="both"/>
      </w:pPr>
      <w:r>
        <w:rPr>
          <w:rFonts w:ascii="Calibri" w:hAnsi="Calibri" w:eastAsia="Microsoft YaHei"/>
          <w:b w:val="0"/>
          <w:i w:val="0"/>
          <w:color w:val="263445"/>
          <w:sz w:val="21"/>
        </w:rPr>
        <w:t>2006年以来，WTI周末价在15.48至145.31美元/桶之间多次换挡，截至2026-08-14为83.99美元/桶。上涨周占52.7%，但年化波动率达到44.4%；2020年更升至117.5%，当年先后出现-38.6%和+83.2%的极端周。上涨周占比接近一半，但风险高度集中在少数极端行情中。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00773"/>
            <wp:docPr id="1" name="Picture 1" descr="图1  WTI周末价格、52周滚动波动率与周收益分布。负油价为日度事件标记，不与周末模型值混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ti_price_regi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00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8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5"/>
        </w:rPr>
        <w:t>图1  WTI周末价格、52周滚动波动率与周收益分布。负油价为日度事件标记，不与周末模型值混写。</w:t>
      </w:r>
    </w:p>
    <w:tbl>
      <w:tblPr>
        <w:tblW w:type="dxa" w:w="9920"/>
        <w:tblLayout w:type="fixed"/>
        <w:tblLook w:firstColumn="1" w:firstRow="1" w:lastColumn="0" w:lastRow="0" w:noHBand="0" w:noVBand="1" w:val="04A0"/>
        <w:tblInd w:w="120" w:type="dxa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67085"/>
                <w:sz w:val="16"/>
              </w:rPr>
              <w:t>周末价格区间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67085"/>
                <w:sz w:val="16"/>
              </w:rPr>
              <w:t>周收益年化波动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67085"/>
                <w:sz w:val="16"/>
              </w:rPr>
              <w:t>同期回归 R²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667085"/>
                <w:sz w:val="16"/>
              </w:rPr>
              <w:t>样本外最佳基准</w:t>
            </w:r>
          </w:p>
        </w:tc>
      </w:tr>
      <w:tr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27"/>
              </w:rPr>
              <w:t>$15.48–145.31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27"/>
              </w:rPr>
              <w:t>44.4%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27"/>
              </w:rPr>
              <w:t>0.0763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27"/>
              </w:rPr>
              <w:t>历史均值</w:t>
            </w:r>
          </w:p>
        </w:tc>
      </w:tr>
    </w:tbl>
    <w:p>
      <w:pPr>
        <w:spacing w:after="40"/>
      </w:pPr>
    </w:p>
    <w:p>
      <w:pPr>
        <w:spacing w:after="90" w:line="259" w:lineRule="auto"/>
        <w:ind w:firstLine="360"/>
        <w:jc w:val="both"/>
      </w:pPr>
      <w:r>
        <w:rPr>
          <w:rFonts w:ascii="Calibri" w:hAnsi="Calibri" w:eastAsia="Microsoft YaHei"/>
          <w:b w:val="0"/>
          <w:i w:val="0"/>
          <w:color w:val="263445"/>
          <w:sz w:val="21"/>
        </w:rPr>
        <w:t>公开周频因子可以帮助解释当周风险，却不足以单独生成下一周交易信号。本文因此把行情、同期归因和样本外预测分开评价。</w:t>
      </w:r>
    </w:p>
    <w:p>
      <w:r>
        <w:br w:type="page"/>
      </w:r>
    </w:p>
    <w:p>
      <w:pPr>
        <w:pStyle w:val="Heading1"/>
        <w:spacing w:after="140"/>
      </w:pPr>
      <w:r>
        <w:rPr>
          <w:rFonts w:ascii="Calibri" w:hAnsi="Calibri" w:eastAsia="Microsoft YaHei"/>
          <w:b/>
          <w:i w:val="0"/>
          <w:color w:val="D97745"/>
          <w:sz w:val="22"/>
        </w:rPr>
        <w:t xml:space="preserve">02  </w:t>
      </w:r>
      <w:r>
        <w:rPr>
          <w:rFonts w:ascii="Calibri" w:hAnsi="Calibri" w:eastAsia="Microsoft YaHei"/>
          <w:b/>
          <w:i w:val="0"/>
          <w:color w:val="17324D"/>
          <w:sz w:val="34"/>
        </w:rPr>
        <w:t>把供需、金融条件和市场结构放到同一周频坐标上</w:t>
      </w:r>
    </w:p>
    <w:p>
      <w:pPr>
        <w:spacing w:after="110" w:line="259" w:lineRule="auto"/>
        <w:ind w:firstLine="0"/>
        <w:jc w:val="both"/>
      </w:pPr>
      <w:r>
        <w:rPr>
          <w:rFonts w:ascii="Calibri" w:hAnsi="Calibri" w:eastAsia="Microsoft YaHei"/>
          <w:b/>
          <w:i w:val="0"/>
          <w:color w:val="17324D"/>
          <w:sz w:val="21"/>
        </w:rPr>
        <w:t>建模前，我先处理两个会直接影响结论的问题：不同频率的数据怎样对齐，以及预测时变量是否已经公布。七个序列被归入实物平衡、金融条件和市场结构三个模块，每个变量都带有来源、观测日、可用日和质量标记。</w:t>
      </w:r>
    </w:p>
    <w:tbl>
      <w:tblPr>
        <w:tblW w:type="dxa" w:w="9800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500"/>
        <w:gridCol w:w="3350"/>
        <w:gridCol w:w="2600"/>
      </w:tblGrid>
      <w:tr>
        <w:trPr>
          <w:tblHeader w:val="true"/>
        </w:trPr>
        <w:tc>
          <w:tcPr>
            <w:tcW w:type="dxa" w:w="135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研究模块</w:t>
            </w:r>
          </w:p>
        </w:tc>
        <w:tc>
          <w:tcPr>
            <w:tcW w:type="dxa" w:w="25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变量</w:t>
            </w:r>
          </w:p>
        </w:tc>
        <w:tc>
          <w:tcPr>
            <w:tcW w:type="dxa" w:w="335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市场含义</w:t>
            </w:r>
          </w:p>
        </w:tc>
        <w:tc>
          <w:tcPr>
            <w:tcW w:type="dxa" w:w="26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入模与时点处理</w:t>
            </w:r>
          </w:p>
        </w:tc>
      </w:tr>
      <w:tr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5"/>
              </w:rPr>
              <w:t>实物平衡</w:t>
            </w:r>
          </w:p>
        </w:tc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商业库存、美国原油产量</w:t>
            </w:r>
          </w:p>
        </w:tc>
        <w:tc>
          <w:tcPr>
            <w:tcW w:type="dxa" w:w="3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供需余缺与库存缓冲</w:t>
            </w:r>
          </w:p>
        </w:tc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使用滞后一期</w:t>
            </w:r>
          </w:p>
        </w:tc>
      </w:tr>
      <w:tr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5"/>
              </w:rPr>
              <w:t>金融条件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美元、实际利率、VIX</w:t>
            </w:r>
          </w:p>
        </w:tc>
        <w:tc>
          <w:tcPr>
            <w:tcW w:type="dxa" w:w="3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购买力、资金成本、风险偏好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按周末可见信息</w:t>
            </w:r>
          </w:p>
        </w:tc>
      </w:tr>
      <w:tr>
        <w:tc>
          <w:tcPr>
            <w:tcW w:type="dxa" w:w="1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5"/>
              </w:rPr>
              <w:t>市场结构</w:t>
            </w:r>
          </w:p>
        </w:tc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Brent-WTI价差</w:t>
            </w:r>
          </w:p>
        </w:tc>
        <w:tc>
          <w:tcPr>
            <w:tcW w:type="dxa" w:w="33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地区供需、运输与品质差异</w:t>
            </w:r>
          </w:p>
        </w:tc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水平入同期回归；变化仅作预测候选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F6B9A"/>
          <w:sz w:val="23"/>
        </w:rPr>
        <w:t>从官方文件到周度宽表</w:t>
      </w:r>
    </w:p>
    <w:p>
      <w:pPr>
        <w:spacing w:after="90" w:line="259" w:lineRule="auto"/>
        <w:ind w:firstLine="360"/>
        <w:jc w:val="both"/>
      </w:pPr>
      <w:r>
        <w:rPr>
          <w:rFonts w:ascii="Calibri" w:hAnsi="Calibri" w:eastAsia="Microsoft YaHei"/>
          <w:b w:val="0"/>
          <w:i w:val="0"/>
          <w:color w:val="263445"/>
          <w:sz w:val="21"/>
        </w:rPr>
        <w:t>WTI、Brent、美元、实际利率和VIX来自FRED列示的官方序列，商业库存和美国原油产量取自EIA。日频数据按周五标记并取当周最后一个有效值，EIA序列保留原始周频口径。清洗不插值、不删除极端值，原始文件逐项核验SHA-256和字节数。</w:t>
      </w:r>
    </w:p>
    <w:p>
      <w:pPr>
        <w:spacing w:after="90" w:line="259" w:lineRule="auto"/>
        <w:ind w:firstLine="360"/>
        <w:jc w:val="both"/>
      </w:pPr>
      <w:r>
        <w:rPr>
          <w:rFonts w:ascii="Calibri" w:hAnsi="Calibri" w:eastAsia="Microsoft YaHei"/>
          <w:b w:val="0"/>
          <w:i w:val="0"/>
          <w:color w:val="263445"/>
          <w:sz w:val="21"/>
        </w:rPr>
        <w:t>我用SQL按周标签连接七张清洗表，检查一对一主键关系，再由Python完成收益率、变化率、滞后项和预测目标构造。最终得到1,076行、58列的周度宽表，表内没有重复周键或无穷值。逐项检查确认，滞后变量与目标周对齐，EIA数据也没有越过设定的可用日期。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1786260"/>
            <wp:docPr id="2" name="Picture 2" descr="图2  从官方文件到可审计模型结果。每一层均保留质量检查和字段血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search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786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8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5"/>
        </w:rPr>
        <w:t>图2  从官方文件到可审计模型结果。每一层均保留质量检查和字段血缘。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F6B9A"/>
          <w:sz w:val="23"/>
        </w:rPr>
        <w:t>避免前视偏差和机械相关</w:t>
      </w:r>
    </w:p>
    <w:p>
      <w:pPr>
        <w:spacing w:after="90" w:line="259" w:lineRule="auto"/>
        <w:ind w:firstLine="360"/>
        <w:jc w:val="both"/>
      </w:pPr>
      <w:r>
        <w:rPr>
          <w:rFonts w:ascii="Calibri" w:hAnsi="Calibri" w:eastAsia="Microsoft YaHei"/>
          <w:b w:val="0"/>
          <w:i w:val="0"/>
          <w:color w:val="263445"/>
          <w:sz w:val="21"/>
        </w:rPr>
        <w:t>EIA文件没有逐期历史发布日期，我把可用日设为周标签后7天作为保守代理，预测时库存和产量只用滞后一期。市场变量按周末可见处理，但这不能替代逐期历史版本（vintage）的发布日期核验。</w:t>
      </w:r>
    </w:p>
    <w:p>
      <w:pPr>
        <w:spacing w:after="90" w:line="259" w:lineRule="auto"/>
        <w:ind w:firstLine="360"/>
        <w:jc w:val="both"/>
      </w:pPr>
      <w:r>
        <w:rPr>
          <w:rFonts w:ascii="Calibri" w:hAnsi="Calibri" w:eastAsia="Microsoft YaHei"/>
          <w:b w:val="0"/>
          <w:i w:val="0"/>
          <w:color w:val="263445"/>
          <w:sz w:val="21"/>
        </w:rPr>
        <w:t>Brent-WTI价差反映地区供需、运输和品质差异，价差水平可以进入分析；价差变化却等于Brent变动减WTI变动，会机械带入目标价格，因此被排除在同期驱动回归之外。2020-04-20的日度负价-36.98美元/桶保留为事件标记，周模型仍使用2020-04-24的周末值15.99美元/桶。</w:t>
      </w:r>
    </w:p>
    <w:p>
      <w:r>
        <w:br w:type="page"/>
      </w:r>
    </w:p>
    <w:p>
      <w:pPr>
        <w:pStyle w:val="Heading1"/>
        <w:spacing w:after="140"/>
      </w:pPr>
      <w:r>
        <w:rPr>
          <w:rFonts w:ascii="Calibri" w:hAnsi="Calibri" w:eastAsia="Microsoft YaHei"/>
          <w:b/>
          <w:i w:val="0"/>
          <w:color w:val="D97745"/>
          <w:sz w:val="22"/>
        </w:rPr>
        <w:t xml:space="preserve">03  </w:t>
      </w:r>
      <w:r>
        <w:rPr>
          <w:rFonts w:ascii="Calibri" w:hAnsi="Calibri" w:eastAsia="Microsoft YaHei"/>
          <w:b/>
          <w:i w:val="0"/>
          <w:color w:val="17324D"/>
          <w:sz w:val="34"/>
        </w:rPr>
        <w:t>美元和VIX的当期关系更清楚，供需环比信号较弱</w:t>
      </w:r>
    </w:p>
    <w:p>
      <w:pPr>
        <w:spacing w:after="90" w:line="259" w:lineRule="auto"/>
        <w:ind w:firstLine="360"/>
        <w:jc w:val="both"/>
      </w:pPr>
      <w:r>
        <w:rPr>
          <w:rFonts w:ascii="Calibri" w:hAnsi="Calibri" w:eastAsia="Microsoft YaHei"/>
          <w:b w:val="0"/>
          <w:i w:val="0"/>
          <w:color w:val="263445"/>
          <w:sz w:val="21"/>
        </w:rPr>
        <w:t>控制其他周频因素后，美元指数周涨1%对应WTI当周收益约低1.57个百分点，系数为-1.5742，p=0.0021。VIX变化同样呈显著负向关系，p=0.0179。价差水平的p值为0.0518，证据较弱；库存、产量和实际利率没有通过5%检验。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349240" cy="2807746"/>
            <wp:docPr id="3" name="Picture 3" descr="图3  标准化系数及HAC 95%置信区间。正文报告原尺度系数；同期回归已排除价差变化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ls_standardized_coeffici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07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8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5"/>
        </w:rPr>
        <w:t>图3  标准化系数及HAC 95%置信区间。正文报告原尺度系数；同期回归已排除价差变化项。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F6B9A"/>
          <w:sz w:val="23"/>
        </w:rPr>
        <w:t>供需变量为何没有表现出显著关系</w:t>
      </w:r>
    </w:p>
    <w:p>
      <w:pPr>
        <w:spacing w:after="90" w:line="259" w:lineRule="auto"/>
        <w:ind w:firstLine="360"/>
        <w:jc w:val="both"/>
      </w:pPr>
      <w:r>
        <w:rPr>
          <w:rFonts w:ascii="Calibri" w:hAnsi="Calibri" w:eastAsia="Microsoft YaHei"/>
          <w:b w:val="0"/>
          <w:i w:val="0"/>
          <w:color w:val="263445"/>
          <w:sz w:val="21"/>
        </w:rPr>
        <w:t>库存是供需余缺的缓冲，产量决定供给能力，但市场交易的是“新信息”。简单环比没有剔除季节性，也没有衡量公布值与市场预期之间的差。等到周度数据发布时，部分信息可能已经进入价格。这更像是特征表达问题，不能据此否定供需逻辑。</w:t>
      </w:r>
    </w:p>
    <w:p>
      <w:pPr>
        <w:spacing w:after="90" w:line="259" w:lineRule="auto"/>
        <w:ind w:firstLine="360"/>
        <w:jc w:val="both"/>
      </w:pPr>
      <w:r>
        <w:rPr>
          <w:rFonts w:ascii="Calibri" w:hAnsi="Calibri" w:eastAsia="Microsoft YaHei"/>
          <w:b w:val="0"/>
          <w:i w:val="0"/>
          <w:color w:val="263445"/>
          <w:sz w:val="21"/>
        </w:rPr>
        <w:t>美元和VIX的系数方向符合常见的市场解释：美元走强会降低非美元买方的购买力，VIX上升通常伴随风险规避和去杠杆。但本模型没有识别因果链。更换样本起点后，VIX仍保持负向并通过5%检验；美元则失去显著性，2018年起点下还出现符号变化。全样本关系不能直接外推为固定系数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F6B9A"/>
          <w:sz w:val="23"/>
        </w:rPr>
        <w:t>回归如何估计</w:t>
      </w:r>
    </w:p>
    <w:p>
      <w:pPr>
        <w:spacing w:after="90" w:line="259" w:lineRule="auto"/>
        <w:ind w:firstLine="360"/>
        <w:jc w:val="both"/>
      </w:pPr>
      <w:r>
        <w:rPr>
          <w:rFonts w:ascii="Calibri" w:hAnsi="Calibri" w:eastAsia="Microsoft YaHei"/>
          <w:b w:val="0"/>
          <w:i w:val="0"/>
          <w:color w:val="263445"/>
          <w:sz w:val="21"/>
        </w:rPr>
        <w:t>主模型使用1,075周WTI简单收益，采用多元OLS和4阶HAC标准误。Breusch-Pagan检验p&lt;0.001，普通同方差标准误不再可靠；最大VIF低于1.25。完整样本R²为0.0763，2010年和2018年起点分别为0.0676和0.0626，剔除2020年4月后为0.1049。这些回归只用于同期归因，不作因果解释。</w:t>
      </w:r>
    </w:p>
    <w:p>
      <w:r>
        <w:br w:type="page"/>
      </w:r>
    </w:p>
    <w:p>
      <w:pPr>
        <w:pStyle w:val="Heading1"/>
        <w:spacing w:after="140"/>
      </w:pPr>
      <w:r>
        <w:rPr>
          <w:rFonts w:ascii="Calibri" w:hAnsi="Calibri" w:eastAsia="Microsoft YaHei"/>
          <w:b/>
          <w:i w:val="0"/>
          <w:color w:val="D97745"/>
          <w:sz w:val="22"/>
        </w:rPr>
        <w:t xml:space="preserve">04  </w:t>
      </w:r>
      <w:r>
        <w:rPr>
          <w:rFonts w:ascii="Calibri" w:hAnsi="Calibri" w:eastAsia="Microsoft YaHei"/>
          <w:b/>
          <w:i w:val="0"/>
          <w:color w:val="17324D"/>
          <w:sz w:val="34"/>
        </w:rPr>
        <w:t>公开周频因子未形成稳定的样本外预测优势</w:t>
      </w:r>
    </w:p>
    <w:p>
      <w:pPr>
        <w:spacing w:after="110" w:line="259" w:lineRule="auto"/>
        <w:ind w:firstLine="0"/>
        <w:jc w:val="both"/>
      </w:pPr>
      <w:r>
        <w:rPr>
          <w:rFonts w:ascii="Calibri" w:hAnsi="Calibri" w:eastAsia="Microsoft YaHei"/>
          <w:b/>
          <w:i w:val="0"/>
          <w:color w:val="17324D"/>
          <w:sz w:val="21"/>
        </w:rPr>
        <w:t>2022年以后留出的240周是唯一正式测试集。历史均值的RMSE为0.05942，Ridge为0.06192，XGBoost为0.06126；方向预测的平衡准确率（Balanced Accuracy）分别为0.4894和0.5093，仍接近随机水平。</w:t>
      </w:r>
    </w:p>
    <w:tbl>
      <w:tblPr>
        <w:tblW w:type="dxa" w:w="9800"/>
        <w:tblLayout w:type="fixed"/>
        <w:tblLook w:firstColumn="1" w:firstRow="1" w:lastColumn="0" w:lastRow="0" w:noHBand="0" w:noVBand="1" w:val="04A0"/>
        <w:tblInd w:w="120" w:type="dxa"/>
      </w:tblPr>
      <w:tblGrid>
        <w:gridCol w:w="3265"/>
        <w:gridCol w:w="3265"/>
        <w:gridCol w:w="3270"/>
      </w:tblGrid>
      <w:tr>
        <w:trPr>
          <w:tblHeader w:val="true"/>
        </w:trPr>
        <w:tc>
          <w:tcPr>
            <w:tcW w:type="dxa" w:w="3265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训练｜2006–2018</w:t>
            </w:r>
          </w:p>
        </w:tc>
        <w:tc>
          <w:tcPr>
            <w:tcW w:type="dxa" w:w="3265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验证｜2019–2021</w:t>
            </w:r>
          </w:p>
        </w:tc>
        <w:tc>
          <w:tcPr>
            <w:tcW w:type="dxa" w:w="327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测试｜2022–2026</w:t>
            </w:r>
          </w:p>
        </w:tc>
      </w:tr>
      <w:tr>
        <w:tc>
          <w:tcPr>
            <w:tcW w:type="dxa" w:w="3265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6"/>
              </w:rPr>
              <w:t>拟合模型和预处理</w:t>
            </w:r>
          </w:p>
        </w:tc>
        <w:tc>
          <w:tcPr>
            <w:tcW w:type="dxa" w:w="3265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6"/>
              </w:rPr>
              <w:t>先选参数，后纳入最终重估</w:t>
            </w:r>
          </w:p>
        </w:tc>
        <w:tc>
          <w:tcPr>
            <w:tcW w:type="dxa" w:w="327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6"/>
              </w:rPr>
              <w:t>240周，只报告一次正式结果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F6B9A"/>
          <w:sz w:val="23"/>
        </w:rPr>
        <w:t>怎样避免“看见答案再调模型”</w:t>
      </w:r>
    </w:p>
    <w:p>
      <w:pPr>
        <w:spacing w:after="90" w:line="259" w:lineRule="auto"/>
        <w:ind w:firstLine="360"/>
        <w:jc w:val="both"/>
      </w:pPr>
      <w:r>
        <w:rPr>
          <w:rFonts w:ascii="Calibri" w:hAnsi="Calibri" w:eastAsia="Microsoft YaHei"/>
          <w:b w:val="0"/>
          <w:i w:val="0"/>
          <w:color w:val="263445"/>
          <w:sz w:val="21"/>
        </w:rPr>
        <w:t>训练集截至2018-12-28，2019至2021年先用于选择参数；参数冻结后，再与训练集合并用于最终重估。2022年以后才打开测试结果。缺失填补和标准化均封装在管线中，只在相应拟合窗口估计。测试集没有参与特征筛选或参数选择。</w:t>
      </w:r>
    </w:p>
    <w:p>
      <w:pPr>
        <w:spacing w:after="90" w:line="259" w:lineRule="auto"/>
        <w:ind w:firstLine="360"/>
        <w:jc w:val="both"/>
      </w:pPr>
      <w:r>
        <w:rPr>
          <w:rFonts w:ascii="Calibri" w:hAnsi="Calibri" w:eastAsia="Microsoft YaHei"/>
          <w:b w:val="0"/>
          <w:i w:val="0"/>
          <w:color w:val="263445"/>
          <w:sz w:val="21"/>
        </w:rPr>
        <w:t>验证期里，Ridge的RMSE为0.09806，略低于历史均值的0.09895，但这点差距没有延续到正式测试。统一把所有变量滞后一期后，Ridge测试RMSE降至0.05882，相对均值基准改善约1%，方向Balanced Accuracy却降至0.4697。单一敏感性设定的小幅改善，不能算稳定预测能力。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2556747"/>
            <wp:docPr id="4" name="Picture 4" descr="图4  2022年以后样本外测试。收益模型未胜历史均值，方向判断接近随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os_model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56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8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5"/>
        </w:rPr>
        <w:t>图4  2022年以后样本外测试。收益模型未胜历史均值，方向判断接近随机。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F6B9A"/>
          <w:sz w:val="23"/>
        </w:rPr>
        <w:t>极端周说明了什么</w:t>
      </w:r>
    </w:p>
    <w:p>
      <w:pPr>
        <w:spacing w:after="90" w:line="259" w:lineRule="auto"/>
        <w:ind w:firstLine="360"/>
        <w:jc w:val="both"/>
      </w:pPr>
      <w:r>
        <w:rPr>
          <w:rFonts w:ascii="Calibri" w:hAnsi="Calibri" w:eastAsia="Microsoft YaHei"/>
          <w:b w:val="0"/>
          <w:i w:val="0"/>
          <w:color w:val="263445"/>
          <w:sz w:val="21"/>
        </w:rPr>
        <w:t>2020年4月的同期OLS样本内残差RMSE为0.4462，常态阶段为0.0464。不过该月只有4周，危机期与VIX极端周也有重叠。这是状态诊断，不是样本外误差。XGBoost测试R²小于0，SHAP只能检查这个弱模型依赖了哪些输入，不能据此讨论因果重要性。</w:t>
      </w:r>
    </w:p>
    <w:p>
      <w:r>
        <w:br w:type="page"/>
      </w:r>
    </w:p>
    <w:p>
      <w:pPr>
        <w:pStyle w:val="Heading1"/>
        <w:spacing w:after="140"/>
      </w:pPr>
      <w:r>
        <w:rPr>
          <w:rFonts w:ascii="Calibri" w:hAnsi="Calibri" w:eastAsia="Microsoft YaHei"/>
          <w:b/>
          <w:i w:val="0"/>
          <w:color w:val="D97745"/>
          <w:sz w:val="22"/>
        </w:rPr>
        <w:t xml:space="preserve">05  </w:t>
      </w:r>
      <w:r>
        <w:rPr>
          <w:rFonts w:ascii="Calibri" w:hAnsi="Calibri" w:eastAsia="Microsoft YaHei"/>
          <w:b/>
          <w:i w:val="0"/>
          <w:color w:val="17324D"/>
          <w:sz w:val="34"/>
        </w:rPr>
        <w:t>风险监测可用，策略信号还缺预期差</w:t>
      </w:r>
    </w:p>
    <w:p>
      <w:pPr>
        <w:spacing w:after="110" w:line="259" w:lineRule="auto"/>
        <w:ind w:firstLine="0"/>
        <w:jc w:val="both"/>
      </w:pPr>
      <w:r>
        <w:rPr>
          <w:rFonts w:ascii="Calibri" w:hAnsi="Calibri" w:eastAsia="Microsoft YaHei"/>
          <w:b/>
          <w:i w:val="0"/>
          <w:color w:val="17324D"/>
          <w:sz w:val="21"/>
        </w:rPr>
        <w:t>这组因子可以用来解释周度风险来自哪里。美元和VIX用于监测金融压力，Brent-WTI价差用于观察地区供需与运输结构，库存和产量则提供实物市场背景。它们可以进入周报和风险看板，但我不会据此直接生成下一周交易信号。</w:t>
      </w:r>
    </w:p>
    <w:tbl>
      <w:tblPr>
        <w:tblW w:type="dxa" w:w="980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200"/>
        <w:gridCol w:w="3000"/>
        <w:gridCol w:w="2850"/>
      </w:tblGrid>
      <w:tr>
        <w:trPr>
          <w:tblHeader w:val="true"/>
        </w:trPr>
        <w:tc>
          <w:tcPr>
            <w:tcW w:type="dxa" w:w="175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监测项</w:t>
            </w:r>
          </w:p>
        </w:tc>
        <w:tc>
          <w:tcPr>
            <w:tcW w:type="dxa" w:w="22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当前证据</w:t>
            </w:r>
          </w:p>
        </w:tc>
        <w:tc>
          <w:tcPr>
            <w:tcW w:type="dxa" w:w="30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周报用途</w:t>
            </w:r>
          </w:p>
        </w:tc>
        <w:tc>
          <w:tcPr>
            <w:tcW w:type="dxa" w:w="285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5"/>
              </w:rPr>
              <w:t>优先升级</w:t>
            </w:r>
          </w:p>
        </w:tc>
      </w:tr>
      <w:tr>
        <w:tc>
          <w:tcPr>
            <w:tcW w:type="dxa" w:w="17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5"/>
              </w:rPr>
              <w:t>美元</w:t>
            </w:r>
          </w:p>
        </w:tc>
        <w:tc>
          <w:tcPr>
            <w:tcW w:type="dxa" w:w="2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同期显著负向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宏观金融压力</w:t>
            </w:r>
          </w:p>
        </w:tc>
        <w:tc>
          <w:tcPr>
            <w:tcW w:type="dxa" w:w="2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状态变量与交互项</w:t>
            </w:r>
          </w:p>
        </w:tc>
      </w:tr>
      <w:tr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5"/>
              </w:rPr>
              <w:t>VIX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同期显著负向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风险规避与危机提示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滚动或分状态估计</w:t>
            </w:r>
          </w:p>
        </w:tc>
      </w:tr>
      <w:tr>
        <w:tc>
          <w:tcPr>
            <w:tcW w:type="dxa" w:w="17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5"/>
              </w:rPr>
              <w:t>Brent-WTI价差</w:t>
            </w:r>
          </w:p>
        </w:tc>
        <w:tc>
          <w:tcPr>
            <w:tcW w:type="dxa" w:w="2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水平项临界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地区供需与运输结构</w:t>
            </w:r>
          </w:p>
        </w:tc>
        <w:tc>
          <w:tcPr>
            <w:tcW w:type="dxa" w:w="2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期限结构和运费</w:t>
            </w:r>
          </w:p>
        </w:tc>
      </w:tr>
      <w:tr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5"/>
              </w:rPr>
              <w:t>EIA库存/产量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简单环比证据弱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实物市场背景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5"/>
              </w:rPr>
              <w:t>surprise与vintage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F6B9A"/>
          <w:sz w:val="23"/>
        </w:rPr>
        <w:t>下一步先补两个缺口</w:t>
      </w:r>
    </w:p>
    <w:p>
      <w:pPr>
        <w:spacing w:after="90" w:line="259" w:lineRule="auto"/>
        <w:ind w:firstLine="360"/>
        <w:jc w:val="both"/>
      </w:pPr>
      <w:r>
        <w:rPr>
          <w:rFonts w:ascii="Calibri" w:hAnsi="Calibri" w:eastAsia="Microsoft YaHei"/>
          <w:b w:val="0"/>
          <w:i w:val="0"/>
          <w:color w:val="263445"/>
          <w:sz w:val="21"/>
        </w:rPr>
        <w:t>后续研究应先补预期差和期限结构。库存与产量不再只看环比，而改用“公布值减市场预期”的预期差，并按真实发布日期构建逐期历史版本；同时加入原油期限结构，检查库存变化能否与现货紧张程度及跨期价差相互印证。只有预测结果能够跨窗口保持，再扩展到持仓、运费和交易成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F6B9A"/>
          <w:sz w:val="23"/>
        </w:rPr>
        <w:t>研究流程与交付</w:t>
      </w:r>
    </w:p>
    <w:tbl>
      <w:tblPr>
        <w:tblW w:type="dxa" w:w="980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050"/>
        <w:gridCol w:w="2850"/>
      </w:tblGrid>
      <w:tr>
        <w:trPr>
          <w:tblHeader w:val="true"/>
        </w:trPr>
        <w:tc>
          <w:tcPr>
            <w:tcW w:type="dxa" w:w="19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4"/>
              </w:rPr>
              <w:t>研究环节</w:t>
            </w:r>
          </w:p>
        </w:tc>
        <w:tc>
          <w:tcPr>
            <w:tcW w:type="dxa" w:w="505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4"/>
              </w:rPr>
              <w:t>本案例中的可核验证据</w:t>
            </w:r>
          </w:p>
        </w:tc>
        <w:tc>
          <w:tcPr>
            <w:tcW w:type="dxa" w:w="285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4"/>
              </w:rPr>
              <w:t>工具与产物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4"/>
              </w:rPr>
              <w:t>数据获取与处理</w:t>
            </w:r>
          </w:p>
        </w:tc>
        <w:tc>
          <w:tcPr>
            <w:tcW w:type="dxa" w:w="50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4"/>
              </w:rPr>
              <w:t>7个官方序列；哈希留痕；周频对齐；信息时点；58字段宽表</w:t>
            </w:r>
          </w:p>
        </w:tc>
        <w:tc>
          <w:tcPr>
            <w:tcW w:type="dxa" w:w="2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4"/>
              </w:rPr>
              <w:t>FRED/EIA、SQL、Pandas、QA日志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4"/>
              </w:rPr>
              <w:t>统计与因子研究</w:t>
            </w:r>
          </w:p>
        </w:tc>
        <w:tc>
          <w:tcPr>
            <w:tcW w:type="dxa" w:w="5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4"/>
              </w:rPr>
              <w:t>相关矩阵、VIF、OLS-HAC、样本窗口和极端期稳健性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4"/>
              </w:rPr>
              <w:t>Statsmodels、Pearson/Spearman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4"/>
              </w:rPr>
              <w:t>预测建模与检验</w:t>
            </w:r>
          </w:p>
        </w:tc>
        <w:tc>
          <w:tcPr>
            <w:tcW w:type="dxa" w:w="50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4"/>
              </w:rPr>
              <w:t>严格时间切分；朴素基准；Ridge/XGBoost；误差与SHAP诊断</w:t>
            </w:r>
          </w:p>
        </w:tc>
        <w:tc>
          <w:tcPr>
            <w:tcW w:type="dxa" w:w="2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4"/>
              </w:rPr>
              <w:t>Scikit-learn、XGBoost、240周测试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4"/>
              </w:rPr>
              <w:t>可视化与报告</w:t>
            </w:r>
          </w:p>
        </w:tc>
        <w:tc>
          <w:tcPr>
            <w:tcW w:type="dxa" w:w="5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4"/>
              </w:rPr>
              <w:t>行情、波动、收益分布、系数区间与样本外结果均由统一结果表生成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334155"/>
                <w:sz w:val="14"/>
              </w:rPr>
              <w:t>Matplotlib、PNG/SVG、Word/PDF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F6B9A"/>
          <w:sz w:val="23"/>
        </w:rPr>
        <w:t>研究边界与完成情况</w:t>
      </w:r>
    </w:p>
    <w:p>
      <w:pPr>
        <w:spacing w:after="90" w:line="259" w:lineRule="auto"/>
        <w:ind w:firstLine="360"/>
        <w:jc w:val="both"/>
      </w:pPr>
      <w:r>
        <w:rPr>
          <w:rFonts w:ascii="Calibri" w:hAnsi="Calibri" w:eastAsia="Microsoft YaHei"/>
          <w:b w:val="0"/>
          <w:i w:val="0"/>
          <w:color w:val="263445"/>
          <w:sz w:val="21"/>
        </w:rPr>
        <w:t>本案例使用下载日可见的历史值，不是逐期vintage数据库；周频聚合会压缩日内极端信息，观察性分析也不识别因果。回测未计交易成本，不能作为投资建议。</w:t>
      </w:r>
    </w:p>
    <w:p>
      <w:pPr>
        <w:spacing w:after="90" w:line="259" w:lineRule="auto"/>
        <w:ind w:firstLine="360"/>
        <w:jc w:val="both"/>
      </w:pPr>
      <w:r>
        <w:rPr>
          <w:rFonts w:ascii="Calibri" w:hAnsi="Calibri" w:eastAsia="Microsoft YaHei"/>
          <w:b w:val="0"/>
          <w:i w:val="0"/>
          <w:color w:val="263445"/>
          <w:sz w:val="21"/>
        </w:rPr>
        <w:t>本案例从7个官方序列出发，搭建可回溯的周度宽表，处理信息时点和异常行情，随后完成同期回归、模型选参与240周样本外检验，并据此制作全部图表和正文。</w:t>
      </w:r>
    </w:p>
    <w:p>
      <w:pPr>
        <w:spacing w:after="90" w:line="259" w:lineRule="auto"/>
        <w:ind w:firstLine="360"/>
        <w:jc w:val="both"/>
      </w:pPr>
      <w:r>
        <w:rPr>
          <w:rFonts w:ascii="Calibri" w:hAnsi="Calibri" w:eastAsia="Microsoft YaHei"/>
          <w:b w:val="0"/>
          <w:i w:val="0"/>
          <w:color w:val="263445"/>
          <w:sz w:val="21"/>
        </w:rPr>
        <w:t>数据来源：FRED（DCOILWTICO、DCOILBRENTEU、DTWEXBGS、DFII10、VIXCLS）与EIA（WCESTUS1、WCRFPUS2）。公开仓库保留来源登记、方法边界和脱敏代码骨架，不发布原始数据、数据库或完整脚本链。</w:t>
      </w:r>
    </w:p>
    <w:sectPr>
      <w:headerReference w:type="default" r:id="rId9"/>
      <w:footerReference w:type="default" r:id="rId10"/>
      <w:pgSz w:w="12240" w:h="15840"/>
      <w:pgMar w:top="1037" w:right="1152" w:bottom="979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667085"/>
        <w:sz w:val="17"/>
      </w:rPr>
      <w:t>大宗商品数据分析案例</w:t>
    </w:r>
    <w:r>
      <w:rPr>
        <w:rFonts w:ascii="Calibri" w:hAnsi="Calibri" w:eastAsia="Microsoft YaHei"/>
        <w:b w:val="0"/>
        <w:i w:val="0"/>
        <w:color w:val="667085"/>
        <w:sz w:val="17"/>
      </w:rPr>
      <w:t xml:space="preserve">    WTI | 2006–2026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F6B9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WTI周度波动：金融条件相关，下周难预测</dc:title>
  <dc:subject>匿名商业市场研究案例</dc:subject>
  <dc:creator/>
  <cp:keywords>WTI, 原油, 市场研究, OLS-HAC, 样本外检验</cp:keywords>
  <dc:description>Data snapshot downloaded 2026-08-20.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