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B2F04" w14:textId="77777777" w:rsidR="00490665" w:rsidRPr="00490665" w:rsidRDefault="00490665" w:rsidP="004906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0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Sample PK/PD Analysis Report Template</w:t>
      </w:r>
    </w:p>
    <w:p w14:paraId="1AB779B5" w14:textId="77777777" w:rsidR="00490665" w:rsidRPr="00490665" w:rsidRDefault="00490665" w:rsidP="004906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0665">
        <w:rPr>
          <w:rFonts w:ascii="Times New Roman" w:eastAsia="Times New Roman" w:hAnsi="Times New Roman" w:cs="Times New Roman"/>
          <w:kern w:val="0"/>
          <w14:ligatures w14:val="none"/>
        </w:rPr>
        <w:pict w14:anchorId="70CCCC46">
          <v:rect id="_x0000_i1025" style="width:0;height:1.5pt" o:hralign="center" o:hrstd="t" o:hr="t" fillcolor="#a0a0a0" stroked="f"/>
        </w:pict>
      </w:r>
    </w:p>
    <w:p w14:paraId="0BC4D2A6" w14:textId="77777777" w:rsidR="00490665" w:rsidRPr="00490665" w:rsidRDefault="00490665" w:rsidP="00490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06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Introduction</w:t>
      </w:r>
    </w:p>
    <w:p w14:paraId="18D1DF22" w14:textId="77777777" w:rsidR="00490665" w:rsidRPr="00490665" w:rsidRDefault="00490665" w:rsidP="00490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0665">
        <w:rPr>
          <w:rFonts w:ascii="Times New Roman" w:eastAsia="Times New Roman" w:hAnsi="Times New Roman" w:cs="Times New Roman"/>
          <w:kern w:val="0"/>
          <w14:ligatures w14:val="none"/>
        </w:rPr>
        <w:t xml:space="preserve">This report summarizes the pharmacokinetic (PK) and pharmacodynamic (PD) results from the clinical pharmacology study </w:t>
      </w:r>
      <w:r w:rsidRPr="004906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[Study ID]</w:t>
      </w:r>
      <w:r w:rsidRPr="00490665">
        <w:rPr>
          <w:rFonts w:ascii="Times New Roman" w:eastAsia="Times New Roman" w:hAnsi="Times New Roman" w:cs="Times New Roman"/>
          <w:kern w:val="0"/>
          <w14:ligatures w14:val="none"/>
        </w:rPr>
        <w:t xml:space="preserve">, designed to evaluate the safety, tolerability, and PK/PD characteristics of </w:t>
      </w:r>
      <w:r w:rsidRPr="004906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[Drug Name]</w:t>
      </w:r>
      <w:r w:rsidRPr="00490665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r w:rsidRPr="004906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[Healthy subjects / Patients]</w:t>
      </w:r>
      <w:r w:rsidRPr="004906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69D100" w14:textId="77777777" w:rsidR="00490665" w:rsidRPr="00490665" w:rsidRDefault="00490665" w:rsidP="00490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06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Objectives:</w:t>
      </w:r>
    </w:p>
    <w:p w14:paraId="6483C8EF" w14:textId="77777777" w:rsidR="00490665" w:rsidRPr="00490665" w:rsidRDefault="00490665" w:rsidP="004906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0665">
        <w:rPr>
          <w:rFonts w:ascii="Times New Roman" w:eastAsia="Times New Roman" w:hAnsi="Times New Roman" w:cs="Times New Roman"/>
          <w:kern w:val="0"/>
          <w14:ligatures w14:val="none"/>
        </w:rPr>
        <w:t xml:space="preserve">To characterize the </w:t>
      </w:r>
      <w:r w:rsidRPr="00490665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PK profile</w:t>
      </w:r>
      <w:r w:rsidRPr="00490665">
        <w:rPr>
          <w:rFonts w:ascii="Times New Roman" w:eastAsia="Times New Roman" w:hAnsi="Times New Roman" w:cs="Times New Roman"/>
          <w:kern w:val="0"/>
          <w14:ligatures w14:val="none"/>
        </w:rPr>
        <w:t xml:space="preserve"> of [Drug Name] following single and/or multiple doses.</w:t>
      </w:r>
    </w:p>
    <w:p w14:paraId="2EC07428" w14:textId="77777777" w:rsidR="00490665" w:rsidRPr="00490665" w:rsidRDefault="00490665" w:rsidP="004906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0665">
        <w:rPr>
          <w:rFonts w:ascii="Times New Roman" w:eastAsia="Times New Roman" w:hAnsi="Times New Roman" w:cs="Times New Roman"/>
          <w:kern w:val="0"/>
          <w14:ligatures w14:val="none"/>
        </w:rPr>
        <w:t xml:space="preserve">To evaluate the relationship between plasma exposure and </w:t>
      </w:r>
      <w:r w:rsidRPr="00490665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pharmacodynamic response</w:t>
      </w:r>
      <w:r w:rsidRPr="004906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34FB9F" w14:textId="77777777" w:rsidR="00490665" w:rsidRPr="00490665" w:rsidRDefault="00490665" w:rsidP="004906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0665">
        <w:rPr>
          <w:rFonts w:ascii="Times New Roman" w:eastAsia="Times New Roman" w:hAnsi="Times New Roman" w:cs="Times New Roman"/>
          <w:kern w:val="0"/>
          <w14:ligatures w14:val="none"/>
        </w:rPr>
        <w:t>To explore potential covariate effects on PK parameters.</w:t>
      </w:r>
    </w:p>
    <w:p w14:paraId="13A5DB7B" w14:textId="77777777" w:rsidR="00490665" w:rsidRPr="00490665" w:rsidRDefault="00490665" w:rsidP="004906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0665">
        <w:rPr>
          <w:rFonts w:ascii="Times New Roman" w:eastAsia="Times New Roman" w:hAnsi="Times New Roman" w:cs="Times New Roman"/>
          <w:kern w:val="0"/>
          <w14:ligatures w14:val="none"/>
        </w:rPr>
        <w:pict w14:anchorId="7BC583E6">
          <v:rect id="_x0000_i1026" style="width:0;height:1.5pt" o:hralign="center" o:hrstd="t" o:hr="t" fillcolor="#a0a0a0" stroked="f"/>
        </w:pict>
      </w:r>
    </w:p>
    <w:p w14:paraId="5CE1B38E" w14:textId="77777777" w:rsidR="00490665" w:rsidRPr="00490665" w:rsidRDefault="00490665" w:rsidP="00490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06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Study Design and Methods</w:t>
      </w:r>
    </w:p>
    <w:p w14:paraId="59B23F6D" w14:textId="77777777" w:rsidR="00490665" w:rsidRPr="00490665" w:rsidRDefault="00490665" w:rsidP="00490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06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Study Type:</w:t>
      </w:r>
      <w:r w:rsidRPr="00490665">
        <w:rPr>
          <w:rFonts w:ascii="Times New Roman" w:eastAsia="Times New Roman" w:hAnsi="Times New Roman" w:cs="Times New Roman"/>
          <w:kern w:val="0"/>
          <w14:ligatures w14:val="none"/>
        </w:rPr>
        <w:br/>
        <w:t>Single Ascending Dose (SAD) / Multiple Ascending Dose (MAD) / Food Effect / DDI Study</w:t>
      </w:r>
    </w:p>
    <w:p w14:paraId="26382791" w14:textId="77777777" w:rsidR="00490665" w:rsidRPr="00490665" w:rsidRDefault="00490665" w:rsidP="00490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06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Dosing Regimen:</w:t>
      </w:r>
      <w:r w:rsidRPr="0049066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[Example] Subjects received single oral </w:t>
      </w:r>
      <w:r w:rsidRPr="00490665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doses of 10, 30, and 100 mg under</w:t>
      </w:r>
      <w:r w:rsidRPr="00490665">
        <w:rPr>
          <w:rFonts w:ascii="Times New Roman" w:eastAsia="Times New Roman" w:hAnsi="Times New Roman" w:cs="Times New Roman"/>
          <w:kern w:val="0"/>
          <w14:ligatures w14:val="none"/>
        </w:rPr>
        <w:t xml:space="preserve"> fasting conditions.</w:t>
      </w:r>
    </w:p>
    <w:p w14:paraId="5352BFE3" w14:textId="77777777" w:rsidR="00490665" w:rsidRPr="00490665" w:rsidRDefault="00490665" w:rsidP="00490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06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Sampling Schedule:</w:t>
      </w:r>
      <w:r w:rsidRPr="00490665">
        <w:rPr>
          <w:rFonts w:ascii="Times New Roman" w:eastAsia="Times New Roman" w:hAnsi="Times New Roman" w:cs="Times New Roman"/>
          <w:kern w:val="0"/>
          <w14:ligatures w14:val="none"/>
        </w:rPr>
        <w:br/>
        <w:t>Blood samples for PK analysis were collected at the following time points:</w:t>
      </w:r>
      <w:r w:rsidRPr="00490665">
        <w:rPr>
          <w:rFonts w:ascii="Times New Roman" w:eastAsia="Times New Roman" w:hAnsi="Times New Roman" w:cs="Times New Roman"/>
          <w:kern w:val="0"/>
          <w14:ligatures w14:val="none"/>
        </w:rPr>
        <w:br/>
        <w:t>Pre-</w:t>
      </w:r>
      <w:r w:rsidRPr="00490665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dose, 0.5, 1, 2, 3, 4, 6, 8, 12, </w:t>
      </w:r>
      <w:proofErr w:type="gramStart"/>
      <w:r w:rsidRPr="00490665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24, 36, 48, and 72 hours</w:t>
      </w:r>
      <w:proofErr w:type="gramEnd"/>
      <w:r w:rsidRPr="00490665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post-dose.</w:t>
      </w:r>
    </w:p>
    <w:p w14:paraId="28985BFB" w14:textId="77777777" w:rsidR="00490665" w:rsidRPr="00490665" w:rsidRDefault="00490665" w:rsidP="00490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06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Bioanalytical Method:</w:t>
      </w:r>
      <w:r w:rsidRPr="0049066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Plasma concentrations of [Drug Name] were determined using a </w:t>
      </w:r>
      <w:r w:rsidRPr="00490665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validated LC–MS/MS method with an LLOQ of [value] ng/</w:t>
      </w:r>
      <w:proofErr w:type="spellStart"/>
      <w:r w:rsidRPr="00490665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mL</w:t>
      </w:r>
      <w:r w:rsidRPr="00490665">
        <w:rPr>
          <w:rFonts w:ascii="Times New Roman" w:eastAsia="Times New Roman" w:hAnsi="Times New Roman" w:cs="Times New Roman"/>
          <w:kern w:val="0"/>
          <w14:ligatures w14:val="none"/>
        </w:rPr>
        <w:t>.</w:t>
      </w:r>
      <w:proofErr w:type="spellEnd"/>
    </w:p>
    <w:p w14:paraId="780D70F7" w14:textId="77777777" w:rsidR="00490665" w:rsidRPr="00490665" w:rsidRDefault="00490665" w:rsidP="004906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0665">
        <w:rPr>
          <w:rFonts w:ascii="Times New Roman" w:eastAsia="Times New Roman" w:hAnsi="Times New Roman" w:cs="Times New Roman"/>
          <w:kern w:val="0"/>
          <w14:ligatures w14:val="none"/>
        </w:rPr>
        <w:pict w14:anchorId="6362131A">
          <v:rect id="_x0000_i1027" style="width:0;height:1.5pt" o:hralign="center" o:hrstd="t" o:hr="t" fillcolor="#a0a0a0" stroked="f"/>
        </w:pict>
      </w:r>
    </w:p>
    <w:p w14:paraId="36B3AA31" w14:textId="77777777" w:rsidR="00490665" w:rsidRPr="00490665" w:rsidRDefault="00490665" w:rsidP="00490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06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Pharmacokinetic Analysis</w:t>
      </w:r>
    </w:p>
    <w:p w14:paraId="2594FA63" w14:textId="77777777" w:rsidR="00490665" w:rsidRPr="00490665" w:rsidRDefault="00490665" w:rsidP="00490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06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Analysis Set:</w:t>
      </w:r>
      <w:r w:rsidRPr="00490665">
        <w:rPr>
          <w:rFonts w:ascii="Times New Roman" w:eastAsia="Times New Roman" w:hAnsi="Times New Roman" w:cs="Times New Roman"/>
          <w:kern w:val="0"/>
          <w14:ligatures w14:val="none"/>
        </w:rPr>
        <w:t xml:space="preserve"> PK-evaluable subjects who received at least one dose and had sufficient data.</w:t>
      </w:r>
    </w:p>
    <w:p w14:paraId="5F56609C" w14:textId="77777777" w:rsidR="00490665" w:rsidRPr="00490665" w:rsidRDefault="00490665" w:rsidP="00490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06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Analysis Method:</w:t>
      </w:r>
      <w:r w:rsidRPr="00490665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gramStart"/>
      <w:r w:rsidRPr="00490665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Non-compartmental</w:t>
      </w:r>
      <w:proofErr w:type="gramEnd"/>
      <w:r w:rsidRPr="00490665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analysis (NCA) was performed using Phoenix </w:t>
      </w:r>
      <w:proofErr w:type="spellStart"/>
      <w:r w:rsidRPr="00490665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WinNonlin</w:t>
      </w:r>
      <w:proofErr w:type="spellEnd"/>
      <w:r w:rsidRPr="00490665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(</w:t>
      </w:r>
      <w:proofErr w:type="gramStart"/>
      <w:r w:rsidRPr="00490665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v[</w:t>
      </w:r>
      <w:proofErr w:type="spellStart"/>
      <w:proofErr w:type="gramEnd"/>
      <w:r w:rsidRPr="00490665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x.x</w:t>
      </w:r>
      <w:proofErr w:type="spellEnd"/>
      <w:r w:rsidRPr="00490665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]).</w:t>
      </w:r>
      <w:r w:rsidRPr="00490665">
        <w:rPr>
          <w:rFonts w:ascii="Times New Roman" w:eastAsia="Times New Roman" w:hAnsi="Times New Roman" w:cs="Times New Roman"/>
          <w:kern w:val="0"/>
          <w14:ligatures w14:val="none"/>
        </w:rPr>
        <w:br/>
        <w:t>Parameters were estimated using actual sampling times.</w:t>
      </w:r>
    </w:p>
    <w:p w14:paraId="0FC526CD" w14:textId="77777777" w:rsidR="00490665" w:rsidRPr="00490665" w:rsidRDefault="00490665" w:rsidP="00490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06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PK Parameters: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7151"/>
        <w:gridCol w:w="915"/>
      </w:tblGrid>
      <w:tr w:rsidR="00490665" w:rsidRPr="00490665" w14:paraId="66D3A1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6E500E" w14:textId="77777777" w:rsidR="00490665" w:rsidRPr="00490665" w:rsidRDefault="00490665" w:rsidP="004906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906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Parameter</w:t>
            </w:r>
          </w:p>
        </w:tc>
        <w:tc>
          <w:tcPr>
            <w:tcW w:w="0" w:type="auto"/>
            <w:vAlign w:val="center"/>
            <w:hideMark/>
          </w:tcPr>
          <w:p w14:paraId="3801EACD" w14:textId="77777777" w:rsidR="00490665" w:rsidRPr="00490665" w:rsidRDefault="00490665" w:rsidP="004906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906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C99796A" w14:textId="77777777" w:rsidR="00490665" w:rsidRPr="00490665" w:rsidRDefault="00490665" w:rsidP="004906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906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Unit</w:t>
            </w:r>
          </w:p>
        </w:tc>
      </w:tr>
      <w:tr w:rsidR="00490665" w:rsidRPr="00490665" w14:paraId="576D2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A90F0" w14:textId="77777777" w:rsidR="00490665" w:rsidRPr="00490665" w:rsidRDefault="00490665" w:rsidP="004906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90665"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  <w:t>Cmax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F7285E" w14:textId="77777777" w:rsidR="00490665" w:rsidRPr="00490665" w:rsidRDefault="00490665" w:rsidP="004906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06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Maximum observed concentration</w:t>
            </w:r>
          </w:p>
        </w:tc>
        <w:tc>
          <w:tcPr>
            <w:tcW w:w="0" w:type="auto"/>
            <w:vAlign w:val="center"/>
            <w:hideMark/>
          </w:tcPr>
          <w:p w14:paraId="4AD48E8A" w14:textId="77777777" w:rsidR="00490665" w:rsidRPr="00490665" w:rsidRDefault="00490665" w:rsidP="004906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06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ng/mL</w:t>
            </w:r>
          </w:p>
        </w:tc>
      </w:tr>
      <w:tr w:rsidR="00490665" w:rsidRPr="00490665" w14:paraId="175F8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A0C9C" w14:textId="77777777" w:rsidR="00490665" w:rsidRPr="00490665" w:rsidRDefault="00490665" w:rsidP="004906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90665"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  <w:t>Tmax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528892" w14:textId="77777777" w:rsidR="00490665" w:rsidRPr="00490665" w:rsidRDefault="00490665" w:rsidP="004906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06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Time to reach </w:t>
            </w:r>
            <w:proofErr w:type="spellStart"/>
            <w:r w:rsidRPr="004906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4E4951" w14:textId="77777777" w:rsidR="00490665" w:rsidRPr="00490665" w:rsidRDefault="00490665" w:rsidP="004906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06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</w:t>
            </w:r>
          </w:p>
        </w:tc>
      </w:tr>
      <w:tr w:rsidR="00490665" w:rsidRPr="00490665" w14:paraId="03298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73E72" w14:textId="77777777" w:rsidR="00490665" w:rsidRPr="00490665" w:rsidRDefault="00490665" w:rsidP="004906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0665"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  <w:t>AUC</w:t>
            </w:r>
            <w:r w:rsidRPr="004906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₀₋ₜ</w:t>
            </w:r>
          </w:p>
        </w:tc>
        <w:tc>
          <w:tcPr>
            <w:tcW w:w="0" w:type="auto"/>
            <w:vAlign w:val="center"/>
            <w:hideMark/>
          </w:tcPr>
          <w:p w14:paraId="53536A03" w14:textId="77777777" w:rsidR="00490665" w:rsidRPr="00490665" w:rsidRDefault="00490665" w:rsidP="004906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06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Area under the concentration–time curve to last measurable concentration</w:t>
            </w:r>
          </w:p>
        </w:tc>
        <w:tc>
          <w:tcPr>
            <w:tcW w:w="0" w:type="auto"/>
            <w:vAlign w:val="center"/>
            <w:hideMark/>
          </w:tcPr>
          <w:p w14:paraId="4216E3AF" w14:textId="77777777" w:rsidR="00490665" w:rsidRPr="00490665" w:rsidRDefault="00490665" w:rsidP="004906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906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ng·h</w:t>
            </w:r>
            <w:proofErr w:type="spellEnd"/>
            <w:r w:rsidRPr="004906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/mL</w:t>
            </w:r>
          </w:p>
        </w:tc>
      </w:tr>
      <w:tr w:rsidR="00490665" w:rsidRPr="00490665" w14:paraId="3A4D2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54F74" w14:textId="77777777" w:rsidR="00490665" w:rsidRPr="00490665" w:rsidRDefault="00490665" w:rsidP="004906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0665"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  <w:t>AUC</w:t>
            </w:r>
            <w:r w:rsidRPr="004906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₀₋∞</w:t>
            </w:r>
          </w:p>
        </w:tc>
        <w:tc>
          <w:tcPr>
            <w:tcW w:w="0" w:type="auto"/>
            <w:vAlign w:val="center"/>
            <w:hideMark/>
          </w:tcPr>
          <w:p w14:paraId="3A05FE6B" w14:textId="77777777" w:rsidR="00490665" w:rsidRPr="00490665" w:rsidRDefault="00490665" w:rsidP="004906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06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Area under the curve extrapolated to infinity</w:t>
            </w:r>
          </w:p>
        </w:tc>
        <w:tc>
          <w:tcPr>
            <w:tcW w:w="0" w:type="auto"/>
            <w:vAlign w:val="center"/>
            <w:hideMark/>
          </w:tcPr>
          <w:p w14:paraId="12FE2138" w14:textId="77777777" w:rsidR="00490665" w:rsidRPr="00490665" w:rsidRDefault="00490665" w:rsidP="004906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906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ng·h</w:t>
            </w:r>
            <w:proofErr w:type="spellEnd"/>
            <w:r w:rsidRPr="004906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/mL</w:t>
            </w:r>
          </w:p>
        </w:tc>
      </w:tr>
      <w:tr w:rsidR="00490665" w:rsidRPr="00490665" w14:paraId="324F2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984B5" w14:textId="77777777" w:rsidR="00490665" w:rsidRPr="00490665" w:rsidRDefault="00490665" w:rsidP="004906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06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</w:t>
            </w:r>
            <w:r w:rsidRPr="00490665"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  <w:t>½</w:t>
            </w:r>
          </w:p>
        </w:tc>
        <w:tc>
          <w:tcPr>
            <w:tcW w:w="0" w:type="auto"/>
            <w:vAlign w:val="center"/>
            <w:hideMark/>
          </w:tcPr>
          <w:p w14:paraId="1124E2E2" w14:textId="77777777" w:rsidR="00490665" w:rsidRPr="00490665" w:rsidRDefault="00490665" w:rsidP="004906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06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Terminal elimination half-life</w:t>
            </w:r>
          </w:p>
        </w:tc>
        <w:tc>
          <w:tcPr>
            <w:tcW w:w="0" w:type="auto"/>
            <w:vAlign w:val="center"/>
            <w:hideMark/>
          </w:tcPr>
          <w:p w14:paraId="4F20A462" w14:textId="77777777" w:rsidR="00490665" w:rsidRPr="00490665" w:rsidRDefault="00490665" w:rsidP="004906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06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</w:t>
            </w:r>
          </w:p>
        </w:tc>
      </w:tr>
      <w:tr w:rsidR="00490665" w:rsidRPr="00490665" w14:paraId="28DA6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BD293" w14:textId="77777777" w:rsidR="00490665" w:rsidRPr="00490665" w:rsidRDefault="00490665" w:rsidP="004906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commentRangeStart w:id="0"/>
            <w:commentRangeStart w:id="1"/>
            <w:r w:rsidRPr="004906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CL/F</w:t>
            </w:r>
          </w:p>
        </w:tc>
        <w:tc>
          <w:tcPr>
            <w:tcW w:w="0" w:type="auto"/>
            <w:vAlign w:val="center"/>
            <w:hideMark/>
          </w:tcPr>
          <w:p w14:paraId="063A2207" w14:textId="77777777" w:rsidR="00490665" w:rsidRPr="00490665" w:rsidRDefault="00490665" w:rsidP="004906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06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Apparent clearance</w:t>
            </w:r>
            <w:commentRangeEnd w:id="0"/>
            <w:r w:rsidR="0039674E">
              <w:rPr>
                <w:rStyle w:val="CommentReference"/>
              </w:rPr>
              <w:commentReference w:id="0"/>
            </w:r>
            <w:r w:rsidR="00DD2846">
              <w:rPr>
                <w:rStyle w:val="CommentReference"/>
              </w:rPr>
              <w:commentReference w:id="1"/>
            </w:r>
          </w:p>
        </w:tc>
        <w:tc>
          <w:tcPr>
            <w:tcW w:w="0" w:type="auto"/>
            <w:vAlign w:val="center"/>
            <w:hideMark/>
          </w:tcPr>
          <w:p w14:paraId="7F382B19" w14:textId="77777777" w:rsidR="00490665" w:rsidRPr="00490665" w:rsidRDefault="00490665" w:rsidP="004906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06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L/h</w:t>
            </w:r>
          </w:p>
        </w:tc>
      </w:tr>
      <w:commentRangeEnd w:id="1"/>
      <w:tr w:rsidR="00490665" w:rsidRPr="00490665" w14:paraId="4D79E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7FB05" w14:textId="77777777" w:rsidR="00490665" w:rsidRPr="00490665" w:rsidRDefault="00490665" w:rsidP="004906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906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Vz</w:t>
            </w:r>
            <w:proofErr w:type="spellEnd"/>
            <w:r w:rsidRPr="004906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/F</w:t>
            </w:r>
          </w:p>
        </w:tc>
        <w:tc>
          <w:tcPr>
            <w:tcW w:w="0" w:type="auto"/>
            <w:vAlign w:val="center"/>
            <w:hideMark/>
          </w:tcPr>
          <w:p w14:paraId="44B5D3AC" w14:textId="77777777" w:rsidR="00490665" w:rsidRPr="00490665" w:rsidRDefault="00490665" w:rsidP="004906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06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Apparent volume of distribution</w:t>
            </w:r>
          </w:p>
        </w:tc>
        <w:tc>
          <w:tcPr>
            <w:tcW w:w="0" w:type="auto"/>
            <w:vAlign w:val="center"/>
            <w:hideMark/>
          </w:tcPr>
          <w:p w14:paraId="0E8633B2" w14:textId="77777777" w:rsidR="00490665" w:rsidRPr="00490665" w:rsidRDefault="00490665" w:rsidP="004906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06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</w:t>
            </w:r>
          </w:p>
        </w:tc>
      </w:tr>
    </w:tbl>
    <w:p w14:paraId="59C774B0" w14:textId="77777777" w:rsidR="00490665" w:rsidRPr="00490665" w:rsidRDefault="00490665" w:rsidP="00490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06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Statistical Analysis:</w:t>
      </w:r>
      <w:r w:rsidRPr="0049066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90665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Natural log-transformed PK parameters</w:t>
      </w:r>
      <w:r w:rsidRPr="00490665">
        <w:rPr>
          <w:rFonts w:ascii="Times New Roman" w:eastAsia="Times New Roman" w:hAnsi="Times New Roman" w:cs="Times New Roman"/>
          <w:kern w:val="0"/>
          <w14:ligatures w14:val="none"/>
        </w:rPr>
        <w:t xml:space="preserve"> (AUC and </w:t>
      </w:r>
      <w:proofErr w:type="spellStart"/>
      <w:r w:rsidRPr="00490665">
        <w:rPr>
          <w:rFonts w:ascii="Times New Roman" w:eastAsia="Times New Roman" w:hAnsi="Times New Roman" w:cs="Times New Roman"/>
          <w:kern w:val="0"/>
          <w14:ligatures w14:val="none"/>
        </w:rPr>
        <w:t>Cmax</w:t>
      </w:r>
      <w:proofErr w:type="spellEnd"/>
      <w:r w:rsidRPr="00490665">
        <w:rPr>
          <w:rFonts w:ascii="Times New Roman" w:eastAsia="Times New Roman" w:hAnsi="Times New Roman" w:cs="Times New Roman"/>
          <w:kern w:val="0"/>
          <w14:ligatures w14:val="none"/>
        </w:rPr>
        <w:t xml:space="preserve">) were analyzed using a mixed-effects ANOVA model with sequence, period, and </w:t>
      </w:r>
      <w:r w:rsidRPr="00490665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treatment as fixed </w:t>
      </w:r>
      <w:commentRangeStart w:id="2"/>
      <w:r w:rsidRPr="00490665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effects</w:t>
      </w:r>
      <w:commentRangeEnd w:id="2"/>
      <w:r w:rsidR="00347715">
        <w:rPr>
          <w:rStyle w:val="CommentReference"/>
        </w:rPr>
        <w:commentReference w:id="2"/>
      </w:r>
      <w:r w:rsidRPr="00490665">
        <w:rPr>
          <w:rFonts w:ascii="Times New Roman" w:eastAsia="Times New Roman" w:hAnsi="Times New Roman" w:cs="Times New Roman"/>
          <w:kern w:val="0"/>
          <w14:ligatures w14:val="none"/>
        </w:rPr>
        <w:t xml:space="preserve"> and subject as a random effect.</w:t>
      </w:r>
    </w:p>
    <w:p w14:paraId="53D46318" w14:textId="77777777" w:rsidR="00490665" w:rsidRPr="00490665" w:rsidRDefault="00490665" w:rsidP="004906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0665">
        <w:rPr>
          <w:rFonts w:ascii="Times New Roman" w:eastAsia="Times New Roman" w:hAnsi="Times New Roman" w:cs="Times New Roman"/>
          <w:kern w:val="0"/>
          <w14:ligatures w14:val="none"/>
        </w:rPr>
        <w:pict w14:anchorId="4483B2B9">
          <v:rect id="_x0000_i1028" style="width:0;height:1.5pt" o:hralign="center" o:hrstd="t" o:hr="t" fillcolor="#a0a0a0" stroked="f"/>
        </w:pict>
      </w:r>
    </w:p>
    <w:p w14:paraId="15EA83C9" w14:textId="77777777" w:rsidR="00490665" w:rsidRPr="00490665" w:rsidRDefault="00490665" w:rsidP="00490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06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Pharmacokinetic Results</w:t>
      </w:r>
    </w:p>
    <w:p w14:paraId="60CE775B" w14:textId="77777777" w:rsidR="00490665" w:rsidRPr="00490665" w:rsidRDefault="00490665" w:rsidP="00490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06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 1. Summary of PK Parameters (Mean ± SD)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1517"/>
        <w:gridCol w:w="994"/>
        <w:gridCol w:w="1821"/>
        <w:gridCol w:w="1927"/>
        <w:gridCol w:w="869"/>
        <w:gridCol w:w="1156"/>
      </w:tblGrid>
      <w:tr w:rsidR="00490665" w:rsidRPr="00490665" w14:paraId="32F3DBB5" w14:textId="77777777" w:rsidTr="003477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C5C6E2" w14:textId="77777777" w:rsidR="00490665" w:rsidRPr="00490665" w:rsidRDefault="00490665" w:rsidP="004906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906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Dose (mg)</w:t>
            </w:r>
          </w:p>
        </w:tc>
        <w:tc>
          <w:tcPr>
            <w:tcW w:w="0" w:type="auto"/>
            <w:vAlign w:val="center"/>
            <w:hideMark/>
          </w:tcPr>
          <w:p w14:paraId="1D6BAA5D" w14:textId="77777777" w:rsidR="00490665" w:rsidRPr="00490665" w:rsidRDefault="00490665" w:rsidP="004906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4906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Cmax</w:t>
            </w:r>
            <w:proofErr w:type="spellEnd"/>
            <w:r w:rsidRPr="004906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(ng/mL)</w:t>
            </w:r>
          </w:p>
        </w:tc>
        <w:tc>
          <w:tcPr>
            <w:tcW w:w="0" w:type="auto"/>
            <w:vAlign w:val="center"/>
            <w:hideMark/>
          </w:tcPr>
          <w:p w14:paraId="467378BE" w14:textId="77777777" w:rsidR="00490665" w:rsidRPr="00490665" w:rsidRDefault="00490665" w:rsidP="004906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4906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Tmax</w:t>
            </w:r>
            <w:proofErr w:type="spellEnd"/>
            <w:r w:rsidRPr="004906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(h)</w:t>
            </w:r>
          </w:p>
        </w:tc>
        <w:tc>
          <w:tcPr>
            <w:tcW w:w="0" w:type="auto"/>
            <w:vAlign w:val="center"/>
            <w:hideMark/>
          </w:tcPr>
          <w:p w14:paraId="56EBEB63" w14:textId="77777777" w:rsidR="00490665" w:rsidRPr="00490665" w:rsidRDefault="00490665" w:rsidP="004906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906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AUC₀₋ₜ (</w:t>
            </w:r>
            <w:proofErr w:type="spellStart"/>
            <w:r w:rsidRPr="004906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ng·h</w:t>
            </w:r>
            <w:proofErr w:type="spellEnd"/>
            <w:r w:rsidRPr="004906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/mL)</w:t>
            </w:r>
          </w:p>
        </w:tc>
        <w:tc>
          <w:tcPr>
            <w:tcW w:w="0" w:type="auto"/>
            <w:vAlign w:val="center"/>
            <w:hideMark/>
          </w:tcPr>
          <w:p w14:paraId="33B2110E" w14:textId="77777777" w:rsidR="00490665" w:rsidRPr="00490665" w:rsidRDefault="00490665" w:rsidP="004906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906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AUC₀₋∞ (</w:t>
            </w:r>
            <w:proofErr w:type="spellStart"/>
            <w:r w:rsidRPr="004906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ng·h</w:t>
            </w:r>
            <w:proofErr w:type="spellEnd"/>
            <w:r w:rsidRPr="004906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/mL)</w:t>
            </w:r>
          </w:p>
        </w:tc>
        <w:tc>
          <w:tcPr>
            <w:tcW w:w="0" w:type="auto"/>
            <w:vAlign w:val="center"/>
            <w:hideMark/>
          </w:tcPr>
          <w:p w14:paraId="514502A1" w14:textId="77777777" w:rsidR="00490665" w:rsidRPr="00490665" w:rsidRDefault="00490665" w:rsidP="004906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906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t½ (h)</w:t>
            </w:r>
          </w:p>
        </w:tc>
        <w:tc>
          <w:tcPr>
            <w:tcW w:w="0" w:type="auto"/>
            <w:vAlign w:val="center"/>
            <w:hideMark/>
          </w:tcPr>
          <w:p w14:paraId="5F82AB56" w14:textId="77777777" w:rsidR="00490665" w:rsidRPr="00490665" w:rsidRDefault="00490665" w:rsidP="004906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906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CL/F (L/h)</w:t>
            </w:r>
          </w:p>
        </w:tc>
      </w:tr>
      <w:tr w:rsidR="00490665" w:rsidRPr="00490665" w14:paraId="4F9668B7" w14:textId="77777777" w:rsidTr="003477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083F2" w14:textId="77777777" w:rsidR="00490665" w:rsidRPr="00490665" w:rsidRDefault="00490665" w:rsidP="004906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06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612C8E8" w14:textId="77777777" w:rsidR="00490665" w:rsidRPr="00490665" w:rsidRDefault="00490665" w:rsidP="004906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06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120 ± 35</w:t>
            </w:r>
          </w:p>
        </w:tc>
        <w:tc>
          <w:tcPr>
            <w:tcW w:w="0" w:type="auto"/>
            <w:vAlign w:val="center"/>
            <w:hideMark/>
          </w:tcPr>
          <w:p w14:paraId="29B25F00" w14:textId="77777777" w:rsidR="00490665" w:rsidRPr="00490665" w:rsidRDefault="00490665" w:rsidP="004906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06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1.5 (1–3)</w:t>
            </w:r>
          </w:p>
        </w:tc>
        <w:tc>
          <w:tcPr>
            <w:tcW w:w="0" w:type="auto"/>
            <w:vAlign w:val="center"/>
            <w:hideMark/>
          </w:tcPr>
          <w:p w14:paraId="3AF339FF" w14:textId="77777777" w:rsidR="00490665" w:rsidRPr="00490665" w:rsidRDefault="00490665" w:rsidP="004906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</w:pPr>
            <w:r w:rsidRPr="00490665"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  <w:t>950 ± 210</w:t>
            </w:r>
          </w:p>
        </w:tc>
        <w:tc>
          <w:tcPr>
            <w:tcW w:w="0" w:type="auto"/>
            <w:vAlign w:val="center"/>
            <w:hideMark/>
          </w:tcPr>
          <w:p w14:paraId="2004D1EB" w14:textId="77777777" w:rsidR="00490665" w:rsidRPr="00490665" w:rsidRDefault="00490665" w:rsidP="004906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06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990 ± 220</w:t>
            </w:r>
          </w:p>
        </w:tc>
        <w:tc>
          <w:tcPr>
            <w:tcW w:w="0" w:type="auto"/>
            <w:vAlign w:val="center"/>
            <w:hideMark/>
          </w:tcPr>
          <w:p w14:paraId="73F5D585" w14:textId="77777777" w:rsidR="00490665" w:rsidRPr="00490665" w:rsidRDefault="00490665" w:rsidP="004906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06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8.5 ± 1.9</w:t>
            </w:r>
          </w:p>
        </w:tc>
        <w:tc>
          <w:tcPr>
            <w:tcW w:w="0" w:type="auto"/>
            <w:vAlign w:val="center"/>
            <w:hideMark/>
          </w:tcPr>
          <w:p w14:paraId="390D5584" w14:textId="77777777" w:rsidR="00490665" w:rsidRPr="00490665" w:rsidRDefault="00490665" w:rsidP="004906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06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10.2 ± 2.3</w:t>
            </w:r>
          </w:p>
        </w:tc>
      </w:tr>
      <w:tr w:rsidR="00490665" w:rsidRPr="00490665" w14:paraId="45E5C03B" w14:textId="77777777" w:rsidTr="003477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C246C" w14:textId="77777777" w:rsidR="00490665" w:rsidRPr="00490665" w:rsidRDefault="00490665" w:rsidP="004906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06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64E2B50" w14:textId="77777777" w:rsidR="00490665" w:rsidRPr="00490665" w:rsidRDefault="00490665" w:rsidP="004906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06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340 ± 82</w:t>
            </w:r>
          </w:p>
        </w:tc>
        <w:tc>
          <w:tcPr>
            <w:tcW w:w="0" w:type="auto"/>
            <w:vAlign w:val="center"/>
            <w:hideMark/>
          </w:tcPr>
          <w:p w14:paraId="4FE05B00" w14:textId="77777777" w:rsidR="00490665" w:rsidRPr="00490665" w:rsidRDefault="00490665" w:rsidP="004906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06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2.0 (1–3)</w:t>
            </w:r>
          </w:p>
        </w:tc>
        <w:tc>
          <w:tcPr>
            <w:tcW w:w="0" w:type="auto"/>
            <w:vAlign w:val="center"/>
            <w:hideMark/>
          </w:tcPr>
          <w:p w14:paraId="6D0FFF04" w14:textId="77777777" w:rsidR="00490665" w:rsidRPr="00490665" w:rsidRDefault="00490665" w:rsidP="004906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</w:pPr>
            <w:r w:rsidRPr="00490665"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  <w:t>2800 ± 620</w:t>
            </w:r>
          </w:p>
        </w:tc>
        <w:tc>
          <w:tcPr>
            <w:tcW w:w="0" w:type="auto"/>
            <w:vAlign w:val="center"/>
            <w:hideMark/>
          </w:tcPr>
          <w:p w14:paraId="19B72B80" w14:textId="77777777" w:rsidR="00490665" w:rsidRPr="00490665" w:rsidRDefault="00490665" w:rsidP="004906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06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2900 ± 650</w:t>
            </w:r>
          </w:p>
        </w:tc>
        <w:tc>
          <w:tcPr>
            <w:tcW w:w="0" w:type="auto"/>
            <w:vAlign w:val="center"/>
            <w:hideMark/>
          </w:tcPr>
          <w:p w14:paraId="230C8878" w14:textId="77777777" w:rsidR="00490665" w:rsidRPr="00490665" w:rsidRDefault="00490665" w:rsidP="004906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06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8.3 ± 2.1</w:t>
            </w:r>
          </w:p>
        </w:tc>
        <w:tc>
          <w:tcPr>
            <w:tcW w:w="0" w:type="auto"/>
            <w:vAlign w:val="center"/>
            <w:hideMark/>
          </w:tcPr>
          <w:p w14:paraId="32DC3B90" w14:textId="77777777" w:rsidR="00490665" w:rsidRPr="00490665" w:rsidRDefault="00490665" w:rsidP="004906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06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10.5 ± 2.1</w:t>
            </w:r>
          </w:p>
        </w:tc>
      </w:tr>
      <w:tr w:rsidR="00490665" w:rsidRPr="00490665" w14:paraId="35B323DD" w14:textId="77777777" w:rsidTr="003477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C64C3" w14:textId="77777777" w:rsidR="00490665" w:rsidRPr="00490665" w:rsidRDefault="00490665" w:rsidP="004906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06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688251B2" w14:textId="77777777" w:rsidR="00490665" w:rsidRPr="00490665" w:rsidRDefault="00490665" w:rsidP="004906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06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1050 ± 260</w:t>
            </w:r>
          </w:p>
        </w:tc>
        <w:tc>
          <w:tcPr>
            <w:tcW w:w="0" w:type="auto"/>
            <w:vAlign w:val="center"/>
            <w:hideMark/>
          </w:tcPr>
          <w:p w14:paraId="6A851717" w14:textId="77777777" w:rsidR="00490665" w:rsidRPr="00490665" w:rsidRDefault="00490665" w:rsidP="004906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06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2.5 (1–4)</w:t>
            </w:r>
          </w:p>
        </w:tc>
        <w:tc>
          <w:tcPr>
            <w:tcW w:w="0" w:type="auto"/>
            <w:vAlign w:val="center"/>
            <w:hideMark/>
          </w:tcPr>
          <w:p w14:paraId="0ED3D01C" w14:textId="77777777" w:rsidR="00490665" w:rsidRPr="00490665" w:rsidRDefault="00490665" w:rsidP="004906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</w:pPr>
            <w:r w:rsidRPr="00490665"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  <w:t>9300 ± 1900</w:t>
            </w:r>
          </w:p>
        </w:tc>
        <w:tc>
          <w:tcPr>
            <w:tcW w:w="0" w:type="auto"/>
            <w:vAlign w:val="center"/>
            <w:hideMark/>
          </w:tcPr>
          <w:p w14:paraId="6EE37439" w14:textId="77777777" w:rsidR="00490665" w:rsidRPr="00490665" w:rsidRDefault="00490665" w:rsidP="004906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06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9500 ± 2000</w:t>
            </w:r>
          </w:p>
        </w:tc>
        <w:tc>
          <w:tcPr>
            <w:tcW w:w="0" w:type="auto"/>
            <w:vAlign w:val="center"/>
            <w:hideMark/>
          </w:tcPr>
          <w:p w14:paraId="26EE9570" w14:textId="77777777" w:rsidR="00490665" w:rsidRPr="00490665" w:rsidRDefault="00490665" w:rsidP="004906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06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8.6 ± 2.4</w:t>
            </w:r>
          </w:p>
        </w:tc>
        <w:tc>
          <w:tcPr>
            <w:tcW w:w="0" w:type="auto"/>
            <w:vAlign w:val="center"/>
            <w:hideMark/>
          </w:tcPr>
          <w:p w14:paraId="29E79E5D" w14:textId="77777777" w:rsidR="00490665" w:rsidRPr="00490665" w:rsidRDefault="00490665" w:rsidP="004906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06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10.1 ± 1.8</w:t>
            </w:r>
          </w:p>
        </w:tc>
      </w:tr>
    </w:tbl>
    <w:p w14:paraId="3473931A" w14:textId="77777777" w:rsidR="00490665" w:rsidRPr="00490665" w:rsidRDefault="00490665" w:rsidP="00490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06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Figure 1. Mean Plasma Concentration–Time Profiles (Linear and Semi-log)</w:t>
      </w:r>
    </w:p>
    <w:p w14:paraId="50DF20AA" w14:textId="77777777" w:rsidR="00490665" w:rsidRPr="00490665" w:rsidRDefault="00490665" w:rsidP="00490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066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(Insert line chart: Mean ± SD; both linear and semi-log scales)</w:t>
      </w:r>
    </w:p>
    <w:p w14:paraId="1AF4F9E5" w14:textId="77777777" w:rsidR="00490665" w:rsidRPr="00490665" w:rsidRDefault="00490665" w:rsidP="004906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0665">
        <w:rPr>
          <w:rFonts w:ascii="Times New Roman" w:eastAsia="Times New Roman" w:hAnsi="Times New Roman" w:cs="Times New Roman"/>
          <w:kern w:val="0"/>
          <w14:ligatures w14:val="none"/>
        </w:rPr>
        <w:pict w14:anchorId="0B6C3ABA">
          <v:rect id="_x0000_i1029" style="width:0;height:1.5pt" o:hralign="center" o:hrstd="t" o:hr="t" fillcolor="#a0a0a0" stroked="f"/>
        </w:pict>
      </w:r>
    </w:p>
    <w:p w14:paraId="43237B64" w14:textId="77777777" w:rsidR="00490665" w:rsidRPr="00490665" w:rsidRDefault="00490665" w:rsidP="00490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06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Pharmacodynamic Analysis</w:t>
      </w:r>
    </w:p>
    <w:p w14:paraId="434183D2" w14:textId="77777777" w:rsidR="00490665" w:rsidRPr="00490665" w:rsidRDefault="00490665" w:rsidP="00490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906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PD</w:t>
      </w:r>
      <w:proofErr w:type="gramEnd"/>
      <w:r w:rsidRPr="004906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Endpoints: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4872"/>
        <w:gridCol w:w="1289"/>
      </w:tblGrid>
      <w:tr w:rsidR="00490665" w:rsidRPr="00490665" w14:paraId="30F72F50" w14:textId="77777777" w:rsidTr="003967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6AD69F" w14:textId="77777777" w:rsidR="00490665" w:rsidRPr="00490665" w:rsidRDefault="00490665" w:rsidP="004906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906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74B8689A" w14:textId="77777777" w:rsidR="00490665" w:rsidRPr="00490665" w:rsidRDefault="00490665" w:rsidP="004906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906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191C9CA" w14:textId="77777777" w:rsidR="00490665" w:rsidRPr="00490665" w:rsidRDefault="00490665" w:rsidP="004906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906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Unit</w:t>
            </w:r>
          </w:p>
        </w:tc>
      </w:tr>
      <w:tr w:rsidR="00490665" w:rsidRPr="00490665" w14:paraId="5A4852D8" w14:textId="77777777" w:rsidTr="003967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EDD3E" w14:textId="77777777" w:rsidR="00490665" w:rsidRPr="00490665" w:rsidRDefault="00490665" w:rsidP="004906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06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Emax</w:t>
            </w:r>
          </w:p>
        </w:tc>
        <w:tc>
          <w:tcPr>
            <w:tcW w:w="0" w:type="auto"/>
            <w:vAlign w:val="center"/>
            <w:hideMark/>
          </w:tcPr>
          <w:p w14:paraId="21DA4A73" w14:textId="77777777" w:rsidR="00490665" w:rsidRPr="00490665" w:rsidRDefault="00490665" w:rsidP="004906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0665"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  <w:t>Maximum pharmacodynamic effect</w:t>
            </w:r>
          </w:p>
        </w:tc>
        <w:tc>
          <w:tcPr>
            <w:tcW w:w="0" w:type="auto"/>
            <w:vAlign w:val="center"/>
            <w:hideMark/>
          </w:tcPr>
          <w:p w14:paraId="4E66D6B9" w14:textId="77777777" w:rsidR="00490665" w:rsidRPr="00490665" w:rsidRDefault="00490665" w:rsidP="004906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06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 inhibition</w:t>
            </w:r>
          </w:p>
        </w:tc>
      </w:tr>
      <w:tr w:rsidR="00490665" w:rsidRPr="00490665" w14:paraId="548E7E5A" w14:textId="77777777" w:rsidTr="003967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F07EE" w14:textId="77777777" w:rsidR="00490665" w:rsidRPr="00490665" w:rsidRDefault="00490665" w:rsidP="004906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06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EC50</w:t>
            </w:r>
          </w:p>
        </w:tc>
        <w:tc>
          <w:tcPr>
            <w:tcW w:w="0" w:type="auto"/>
            <w:vAlign w:val="center"/>
            <w:hideMark/>
          </w:tcPr>
          <w:p w14:paraId="26FFF8AC" w14:textId="77777777" w:rsidR="00490665" w:rsidRPr="00490665" w:rsidRDefault="00490665" w:rsidP="004906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06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Concentration producing </w:t>
            </w:r>
            <w:r w:rsidRPr="00490665"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  <w:t>50% of maximum</w:t>
            </w:r>
            <w:r w:rsidRPr="004906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effect</w:t>
            </w:r>
          </w:p>
        </w:tc>
        <w:tc>
          <w:tcPr>
            <w:tcW w:w="0" w:type="auto"/>
            <w:vAlign w:val="center"/>
            <w:hideMark/>
          </w:tcPr>
          <w:p w14:paraId="44F3B5B3" w14:textId="77777777" w:rsidR="00490665" w:rsidRPr="00490665" w:rsidRDefault="00490665" w:rsidP="004906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06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ng/mL</w:t>
            </w:r>
          </w:p>
        </w:tc>
      </w:tr>
      <w:tr w:rsidR="00490665" w:rsidRPr="00490665" w14:paraId="23CC4811" w14:textId="77777777" w:rsidTr="003967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212DE" w14:textId="77777777" w:rsidR="00490665" w:rsidRPr="00490665" w:rsidRDefault="00490665" w:rsidP="004906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06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Biomarker level</w:t>
            </w:r>
          </w:p>
        </w:tc>
        <w:tc>
          <w:tcPr>
            <w:tcW w:w="0" w:type="auto"/>
            <w:vAlign w:val="center"/>
            <w:hideMark/>
          </w:tcPr>
          <w:p w14:paraId="73EAB61F" w14:textId="77777777" w:rsidR="00490665" w:rsidRPr="00490665" w:rsidRDefault="00490665" w:rsidP="004906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06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[e.g., plasma IL-6, </w:t>
            </w:r>
            <w:r w:rsidRPr="00490665">
              <w:rPr>
                <w:rFonts w:ascii="Times New Roman" w:eastAsia="Times New Roman" w:hAnsi="Times New Roman" w:cs="Times New Roman"/>
                <w:color w:val="EE0000"/>
                <w:kern w:val="0"/>
                <w14:ligatures w14:val="none"/>
              </w:rPr>
              <w:t xml:space="preserve">blood </w:t>
            </w:r>
            <w:commentRangeStart w:id="3"/>
            <w:r w:rsidRPr="00490665">
              <w:rPr>
                <w:rFonts w:ascii="Times New Roman" w:eastAsia="Times New Roman" w:hAnsi="Times New Roman" w:cs="Times New Roman"/>
                <w:color w:val="EE0000"/>
                <w:kern w:val="0"/>
                <w14:ligatures w14:val="none"/>
              </w:rPr>
              <w:t>glucose</w:t>
            </w:r>
            <w:commentRangeEnd w:id="3"/>
            <w:r w:rsidR="0039674E">
              <w:rPr>
                <w:rStyle w:val="CommentReference"/>
              </w:rPr>
              <w:commentReference w:id="3"/>
            </w:r>
            <w:r w:rsidRPr="004906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FEV₁]</w:t>
            </w:r>
          </w:p>
        </w:tc>
        <w:tc>
          <w:tcPr>
            <w:tcW w:w="0" w:type="auto"/>
            <w:vAlign w:val="center"/>
            <w:hideMark/>
          </w:tcPr>
          <w:p w14:paraId="0E59BD9F" w14:textId="77777777" w:rsidR="00490665" w:rsidRPr="00490665" w:rsidRDefault="00490665" w:rsidP="004906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06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[unit]</w:t>
            </w:r>
          </w:p>
        </w:tc>
      </w:tr>
    </w:tbl>
    <w:p w14:paraId="6EF57CB4" w14:textId="77777777" w:rsidR="00490665" w:rsidRPr="00490665" w:rsidRDefault="00490665" w:rsidP="00490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06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Figure 2. PD Time–Response Profile</w:t>
      </w:r>
    </w:p>
    <w:p w14:paraId="5ABDFEFF" w14:textId="77777777" w:rsidR="00490665" w:rsidRPr="00490665" w:rsidRDefault="00490665" w:rsidP="00490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066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(Insert PD effect vs time plot for each dose group)</w:t>
      </w:r>
    </w:p>
    <w:p w14:paraId="45EC7559" w14:textId="77777777" w:rsidR="00490665" w:rsidRPr="00490665" w:rsidRDefault="00490665" w:rsidP="00490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06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Figure 3. PK–PD Relationship (E–C Curve)</w:t>
      </w:r>
    </w:p>
    <w:p w14:paraId="1B5EA2B6" w14:textId="77777777" w:rsidR="00490665" w:rsidRPr="00490665" w:rsidRDefault="00490665" w:rsidP="00490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066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(Insert scatter plot or sigmoid Emax curve: Effect vs Concentration)</w:t>
      </w:r>
    </w:p>
    <w:p w14:paraId="1894EF9E" w14:textId="77777777" w:rsidR="00490665" w:rsidRPr="00490665" w:rsidRDefault="00490665" w:rsidP="004906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0665">
        <w:rPr>
          <w:rFonts w:ascii="Times New Roman" w:eastAsia="Times New Roman" w:hAnsi="Times New Roman" w:cs="Times New Roman"/>
          <w:kern w:val="0"/>
          <w14:ligatures w14:val="none"/>
        </w:rPr>
        <w:pict w14:anchorId="5215AB0A">
          <v:rect id="_x0000_i1030" style="width:0;height:1.5pt" o:hralign="center" o:hrstd="t" o:hr="t" fillcolor="#a0a0a0" stroked="f"/>
        </w:pict>
      </w:r>
    </w:p>
    <w:p w14:paraId="24B94F86" w14:textId="77777777" w:rsidR="00490665" w:rsidRPr="00490665" w:rsidRDefault="00490665" w:rsidP="00490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06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PK/PD Relationship</w:t>
      </w:r>
    </w:p>
    <w:p w14:paraId="742C9A53" w14:textId="77777777" w:rsidR="00490665" w:rsidRPr="00490665" w:rsidRDefault="00490665" w:rsidP="00490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0665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The </w:t>
      </w:r>
      <w:commentRangeStart w:id="4"/>
      <w:r w:rsidRPr="00490665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relationship</w:t>
      </w:r>
      <w:commentRangeEnd w:id="4"/>
      <w:r w:rsidR="00AB5691">
        <w:rPr>
          <w:rStyle w:val="CommentReference"/>
        </w:rPr>
        <w:commentReference w:id="4"/>
      </w:r>
      <w:r w:rsidRPr="00490665">
        <w:rPr>
          <w:rFonts w:ascii="Times New Roman" w:eastAsia="Times New Roman" w:hAnsi="Times New Roman" w:cs="Times New Roman"/>
          <w:kern w:val="0"/>
          <w14:ligatures w14:val="none"/>
        </w:rPr>
        <w:t xml:space="preserve"> between plasma concentrations and PD effects was characterized using an Emax model:</w:t>
      </w:r>
    </w:p>
    <w:p w14:paraId="6E294967" w14:textId="77777777" w:rsidR="00490665" w:rsidRPr="00490665" w:rsidRDefault="00490665" w:rsidP="004906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E=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max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C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γ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50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γ</m:t>
                  </m:r>
                </m:sup>
              </m:sSub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C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γ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40F1D9F2" w14:textId="77777777" w:rsidR="00490665" w:rsidRPr="00490665" w:rsidRDefault="00490665" w:rsidP="00490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0665">
        <w:rPr>
          <w:rFonts w:ascii="Times New Roman" w:eastAsia="Times New Roman" w:hAnsi="Times New Roman" w:cs="Times New Roman"/>
          <w:kern w:val="0"/>
          <w14:ligatures w14:val="none"/>
        </w:rPr>
        <w:t>Model fitting was conducted using NONMEM v</w:t>
      </w:r>
      <w:proofErr w:type="gramStart"/>
      <w:r w:rsidRPr="00490665">
        <w:rPr>
          <w:rFonts w:ascii="Times New Roman" w:eastAsia="Times New Roman" w:hAnsi="Times New Roman" w:cs="Times New Roman"/>
          <w:kern w:val="0"/>
          <w14:ligatures w14:val="none"/>
        </w:rPr>
        <w:t>7.x.</w:t>
      </w:r>
      <w:proofErr w:type="gramEnd"/>
      <w:r w:rsidRPr="00490665">
        <w:rPr>
          <w:rFonts w:ascii="Times New Roman" w:eastAsia="Times New Roman" w:hAnsi="Times New Roman" w:cs="Times New Roman"/>
          <w:kern w:val="0"/>
          <w14:ligatures w14:val="none"/>
        </w:rPr>
        <w:br/>
        <w:t>Estimated parameters:</w:t>
      </w:r>
    </w:p>
    <w:p w14:paraId="1942F78D" w14:textId="77777777" w:rsidR="00490665" w:rsidRPr="00490665" w:rsidRDefault="00490665" w:rsidP="004906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0665">
        <w:rPr>
          <w:rFonts w:ascii="Times New Roman" w:eastAsia="Times New Roman" w:hAnsi="Times New Roman" w:cs="Times New Roman"/>
          <w:kern w:val="0"/>
          <w14:ligatures w14:val="none"/>
        </w:rPr>
        <w:t>Emax = 85% (95% CI: 78–92)</w:t>
      </w:r>
    </w:p>
    <w:p w14:paraId="391F9F82" w14:textId="77777777" w:rsidR="00490665" w:rsidRPr="00490665" w:rsidRDefault="00490665" w:rsidP="004906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0665">
        <w:rPr>
          <w:rFonts w:ascii="Times New Roman" w:eastAsia="Times New Roman" w:hAnsi="Times New Roman" w:cs="Times New Roman"/>
          <w:kern w:val="0"/>
          <w14:ligatures w14:val="none"/>
        </w:rPr>
        <w:t>EC50 = 120 ng/mL (95% CI: 90–160)</w:t>
      </w:r>
    </w:p>
    <w:p w14:paraId="0D371C6A" w14:textId="77777777" w:rsidR="00490665" w:rsidRDefault="00490665" w:rsidP="004906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0665">
        <w:rPr>
          <w:rFonts w:ascii="Times New Roman" w:eastAsia="Times New Roman" w:hAnsi="Times New Roman" w:cs="Times New Roman"/>
          <w:kern w:val="0"/>
          <w14:ligatures w14:val="none"/>
        </w:rPr>
        <w:t>Hill coefficient (γ) = 1.3</w:t>
      </w:r>
    </w:p>
    <w:p w14:paraId="459BFA42" w14:textId="77777777" w:rsidR="00AB5691" w:rsidRDefault="00AB5691" w:rsidP="00AB5691">
      <w:pPr>
        <w:pStyle w:val="NormalWeb"/>
        <w:numPr>
          <w:ilvl w:val="0"/>
          <w:numId w:val="2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Emphasis"/>
          <w:rFonts w:eastAsiaTheme="majorEastAsia"/>
        </w:rPr>
        <w:t>E</w:t>
      </w:r>
      <w:proofErr w:type="gramEnd"/>
      <w:r>
        <w:t xml:space="preserve"> = observed pharmacodynamic effect,</w:t>
      </w:r>
    </w:p>
    <w:p w14:paraId="0BDC8268" w14:textId="77777777" w:rsidR="00AB5691" w:rsidRDefault="00AB5691" w:rsidP="00AB5691">
      <w:pPr>
        <w:pStyle w:val="NormalWeb"/>
        <w:numPr>
          <w:ilvl w:val="0"/>
          <w:numId w:val="2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Emphasis"/>
          <w:rFonts w:eastAsiaTheme="majorEastAsia"/>
        </w:rPr>
        <w:t>E</w:t>
      </w:r>
      <w:proofErr w:type="gramEnd"/>
      <w:r>
        <w:rPr>
          <w:rStyle w:val="Emphasis"/>
          <w:rFonts w:eastAsiaTheme="majorEastAsia"/>
        </w:rPr>
        <w:t>₀</w:t>
      </w:r>
      <w:r>
        <w:t xml:space="preserve"> = baseline effect in the absence of drug,</w:t>
      </w:r>
    </w:p>
    <w:p w14:paraId="25838DC0" w14:textId="77777777" w:rsidR="00AB5691" w:rsidRDefault="00AB5691" w:rsidP="00AB5691">
      <w:pPr>
        <w:pStyle w:val="NormalWeb"/>
        <w:numPr>
          <w:ilvl w:val="0"/>
          <w:numId w:val="2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Emphasis"/>
          <w:rFonts w:eastAsiaTheme="majorEastAsia"/>
        </w:rPr>
        <w:t>Emax</w:t>
      </w:r>
      <w:proofErr w:type="gramEnd"/>
      <w:r>
        <w:t xml:space="preserve"> = maximum effect achievable with the drug,</w:t>
      </w:r>
    </w:p>
    <w:p w14:paraId="42E1BA8B" w14:textId="77777777" w:rsidR="00AB5691" w:rsidRDefault="00AB5691" w:rsidP="00AB5691">
      <w:pPr>
        <w:pStyle w:val="NormalWeb"/>
        <w:numPr>
          <w:ilvl w:val="0"/>
          <w:numId w:val="2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Emphasis"/>
          <w:rFonts w:eastAsiaTheme="majorEastAsia"/>
        </w:rPr>
        <w:t>EC</w:t>
      </w:r>
      <w:proofErr w:type="gramEnd"/>
      <w:r>
        <w:rPr>
          <w:rStyle w:val="Emphasis"/>
          <w:rFonts w:eastAsiaTheme="majorEastAsia"/>
        </w:rPr>
        <w:t>₅₀</w:t>
      </w:r>
      <w:r>
        <w:t xml:space="preserve"> = plasma concentration producing 50% of the maximum effect, and</w:t>
      </w:r>
    </w:p>
    <w:p w14:paraId="68BE3E63" w14:textId="77777777" w:rsidR="00AB5691" w:rsidRDefault="00AB5691" w:rsidP="00AB5691">
      <w:pPr>
        <w:pStyle w:val="NormalWeb"/>
        <w:numPr>
          <w:ilvl w:val="0"/>
          <w:numId w:val="2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Emphasis"/>
          <w:rFonts w:eastAsiaTheme="majorEastAsia"/>
        </w:rPr>
        <w:t>γ</w:t>
      </w:r>
      <w:proofErr w:type="gramEnd"/>
      <w:r>
        <w:t xml:space="preserve"> = Hill coefficient describing the steepness of the concentration–effect curve.</w:t>
      </w:r>
    </w:p>
    <w:p w14:paraId="01281194" w14:textId="77777777" w:rsidR="0021608A" w:rsidRPr="00D62CD3" w:rsidRDefault="0021608A" w:rsidP="0021608A">
      <w:pPr>
        <w:pStyle w:val="NormalWeb"/>
        <w:numPr>
          <w:ilvl w:val="0"/>
          <w:numId w:val="2"/>
        </w:numPr>
        <w:rPr>
          <w:highlight w:val="yellow"/>
        </w:rPr>
      </w:pPr>
      <w:proofErr w:type="gramStart"/>
      <w:r w:rsidRPr="00D62CD3">
        <w:rPr>
          <w:rFonts w:hAnsi="Symbol"/>
          <w:highlight w:val="yellow"/>
        </w:rPr>
        <w:t></w:t>
      </w:r>
      <w:r w:rsidRPr="00D62CD3">
        <w:rPr>
          <w:highlight w:val="yellow"/>
        </w:rPr>
        <w:t xml:space="preserve">  </w:t>
      </w:r>
      <w:r w:rsidRPr="00D62CD3">
        <w:rPr>
          <w:rStyle w:val="Strong"/>
          <w:rFonts w:eastAsiaTheme="majorEastAsia"/>
          <w:highlight w:val="yellow"/>
        </w:rPr>
        <w:t>Known</w:t>
      </w:r>
      <w:proofErr w:type="gramEnd"/>
      <w:r w:rsidRPr="00D62CD3">
        <w:rPr>
          <w:rStyle w:val="Strong"/>
          <w:rFonts w:eastAsiaTheme="majorEastAsia"/>
          <w:highlight w:val="yellow"/>
        </w:rPr>
        <w:t xml:space="preserve"> inputs:</w:t>
      </w:r>
      <w:r w:rsidRPr="00D62CD3">
        <w:rPr>
          <w:highlight w:val="yellow"/>
        </w:rPr>
        <w:t xml:space="preserve"> </w:t>
      </w:r>
      <m:oMath>
        <m:r>
          <w:rPr>
            <w:rFonts w:ascii="Cambria Math" w:hAnsi="Cambria Math"/>
            <w:highlight w:val="yellow"/>
          </w:rPr>
          <m:t>C</m:t>
        </m:r>
      </m:oMath>
      <w:r w:rsidRPr="00D62CD3">
        <w:rPr>
          <w:highlight w:val="yellow"/>
        </w:rPr>
        <w:t xml:space="preserve">and </w:t>
      </w:r>
      <m:oMath>
        <m:r>
          <w:rPr>
            <w:rFonts w:ascii="Cambria Math" w:hAnsi="Cambria Math"/>
            <w:highlight w:val="yellow"/>
          </w:rPr>
          <m:t>E</m:t>
        </m:r>
      </m:oMath>
      <w:r w:rsidRPr="00D62CD3">
        <w:rPr>
          <w:highlight w:val="yellow"/>
        </w:rPr>
        <w:t>(measured data)</w:t>
      </w:r>
    </w:p>
    <w:p w14:paraId="79371834" w14:textId="77777777" w:rsidR="0021608A" w:rsidRPr="00D62CD3" w:rsidRDefault="0021608A" w:rsidP="0021608A">
      <w:pPr>
        <w:pStyle w:val="NormalWeb"/>
        <w:numPr>
          <w:ilvl w:val="0"/>
          <w:numId w:val="2"/>
        </w:numPr>
        <w:rPr>
          <w:highlight w:val="yellow"/>
        </w:rPr>
      </w:pPr>
      <w:proofErr w:type="gramStart"/>
      <w:r w:rsidRPr="00D62CD3">
        <w:rPr>
          <w:rFonts w:hAnsi="Symbol"/>
          <w:highlight w:val="yellow"/>
        </w:rPr>
        <w:t></w:t>
      </w:r>
      <w:r w:rsidRPr="00D62CD3">
        <w:rPr>
          <w:highlight w:val="yellow"/>
        </w:rPr>
        <w:t xml:space="preserve">  </w:t>
      </w:r>
      <w:r w:rsidRPr="00D62CD3">
        <w:rPr>
          <w:rStyle w:val="Strong"/>
          <w:rFonts w:eastAsiaTheme="majorEastAsia"/>
          <w:highlight w:val="yellow"/>
        </w:rPr>
        <w:t>Unknown</w:t>
      </w:r>
      <w:proofErr w:type="gramEnd"/>
      <w:r w:rsidRPr="00D62CD3">
        <w:rPr>
          <w:rStyle w:val="Strong"/>
          <w:rFonts w:eastAsiaTheme="majorEastAsia"/>
          <w:highlight w:val="yellow"/>
        </w:rPr>
        <w:t xml:space="preserve"> parameters to estimate:</w:t>
      </w:r>
      <w:r w:rsidRPr="00D62CD3">
        <w:rPr>
          <w:highlight w:val="yellow"/>
        </w:rPr>
        <w:t xml:space="preserve"> </w:t>
      </w:r>
      <m:oMath>
        <m:sSub>
          <m:sSubPr>
            <m:ctrlPr>
              <w:rPr>
                <w:rFonts w:ascii="Cambria Math" w:hAnsi="Cambria Math"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E</m:t>
            </m:r>
          </m:e>
          <m:sub>
            <m:r>
              <w:rPr>
                <w:rFonts w:ascii="Cambria Math" w:hAnsi="Cambria Math"/>
                <w:highlight w:val="yellow"/>
              </w:rPr>
              <m:t>0</m:t>
            </m:r>
          </m:sub>
        </m:sSub>
        <m:r>
          <w:rPr>
            <w:rFonts w:ascii="Cambria Math" w:hAnsi="Cambria Math"/>
            <w:highlight w:val="yellow"/>
          </w:rPr>
          <m:t>,</m:t>
        </m:r>
        <m:sSub>
          <m:sSubPr>
            <m:ctrlPr>
              <w:rPr>
                <w:rFonts w:ascii="Cambria Math" w:hAnsi="Cambria Math"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E</m:t>
            </m:r>
          </m:e>
          <m:sub>
            <m:r>
              <w:rPr>
                <w:rFonts w:ascii="Cambria Math" w:hAnsi="Cambria Math"/>
                <w:highlight w:val="yellow"/>
              </w:rPr>
              <m:t>max</m:t>
            </m:r>
          </m:sub>
        </m:sSub>
        <m:r>
          <w:rPr>
            <w:rFonts w:ascii="Cambria Math" w:hAnsi="Cambria Math"/>
            <w:highlight w:val="yellow"/>
          </w:rPr>
          <m:t>,E</m:t>
        </m:r>
        <m:sSub>
          <m:sSubPr>
            <m:ctrlPr>
              <w:rPr>
                <w:rFonts w:ascii="Cambria Math" w:hAnsi="Cambria Math"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C</m:t>
            </m:r>
          </m:e>
          <m:sub>
            <m:r>
              <w:rPr>
                <w:rFonts w:ascii="Cambria Math" w:hAnsi="Cambria Math"/>
                <w:highlight w:val="yellow"/>
              </w:rPr>
              <m:t>50</m:t>
            </m:r>
          </m:sub>
        </m:sSub>
        <m:r>
          <w:rPr>
            <w:rFonts w:ascii="Cambria Math" w:hAnsi="Cambria Math"/>
            <w:highlight w:val="yellow"/>
          </w:rPr>
          <m:t>,γ</m:t>
        </m:r>
      </m:oMath>
    </w:p>
    <w:p w14:paraId="1649CE59" w14:textId="77777777" w:rsidR="00490665" w:rsidRPr="00490665" w:rsidRDefault="00490665" w:rsidP="004906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0665">
        <w:rPr>
          <w:rFonts w:ascii="Times New Roman" w:eastAsia="Times New Roman" w:hAnsi="Times New Roman" w:cs="Times New Roman"/>
          <w:kern w:val="0"/>
          <w14:ligatures w14:val="none"/>
        </w:rPr>
        <w:pict w14:anchorId="244F84B0">
          <v:rect id="_x0000_i1046" style="width:0;height:1.5pt" o:hralign="center" o:hrstd="t" o:hr="t" fillcolor="#a0a0a0" stroked="f"/>
        </w:pict>
      </w:r>
    </w:p>
    <w:p w14:paraId="287DFCE2" w14:textId="77777777" w:rsidR="00490665" w:rsidRPr="00490665" w:rsidRDefault="00490665" w:rsidP="00490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06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Covariate and Exposure–Response Analysis</w:t>
      </w:r>
    </w:p>
    <w:p w14:paraId="045B27B2" w14:textId="77777777" w:rsidR="00490665" w:rsidRPr="00490665" w:rsidRDefault="00490665" w:rsidP="00490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0665">
        <w:rPr>
          <w:rFonts w:ascii="Times New Roman" w:eastAsia="Times New Roman" w:hAnsi="Times New Roman" w:cs="Times New Roman"/>
          <w:kern w:val="0"/>
          <w14:ligatures w14:val="none"/>
        </w:rPr>
        <w:t xml:space="preserve">Exploratory analyses were performed to evaluate the effect </w:t>
      </w:r>
      <w:r w:rsidRPr="00490665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of </w:t>
      </w:r>
      <w:r w:rsidRPr="00490665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body weight, sex, and age</w:t>
      </w:r>
      <w:r w:rsidRPr="00490665">
        <w:rPr>
          <w:rFonts w:ascii="Times New Roman" w:eastAsia="Times New Roman" w:hAnsi="Times New Roman" w:cs="Times New Roman"/>
          <w:kern w:val="0"/>
          <w14:ligatures w14:val="none"/>
        </w:rPr>
        <w:t xml:space="preserve"> on CL/F.</w:t>
      </w:r>
      <w:r w:rsidRPr="00490665">
        <w:rPr>
          <w:rFonts w:ascii="Times New Roman" w:eastAsia="Times New Roman" w:hAnsi="Times New Roman" w:cs="Times New Roman"/>
          <w:kern w:val="0"/>
          <w14:ligatures w14:val="none"/>
        </w:rPr>
        <w:br/>
        <w:t>No significant covariate effects were observed (p &gt; 0.05).</w:t>
      </w:r>
    </w:p>
    <w:p w14:paraId="380E96FB" w14:textId="77777777" w:rsidR="00490665" w:rsidRPr="00490665" w:rsidRDefault="00490665" w:rsidP="00490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06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Figure 4. Forest Plot of Covariate Effects on CL/F</w:t>
      </w:r>
    </w:p>
    <w:p w14:paraId="22C2E152" w14:textId="77777777" w:rsidR="00490665" w:rsidRPr="00490665" w:rsidRDefault="00490665" w:rsidP="00490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066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(Insert forest plot or boxplots)</w:t>
      </w:r>
    </w:p>
    <w:p w14:paraId="294ABADE" w14:textId="77777777" w:rsidR="00490665" w:rsidRPr="00490665" w:rsidRDefault="00490665" w:rsidP="004906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0665">
        <w:rPr>
          <w:rFonts w:ascii="Times New Roman" w:eastAsia="Times New Roman" w:hAnsi="Times New Roman" w:cs="Times New Roman"/>
          <w:kern w:val="0"/>
          <w14:ligatures w14:val="none"/>
        </w:rPr>
        <w:pict w14:anchorId="19A2168D">
          <v:rect id="_x0000_i1032" style="width:0;height:1.5pt" o:hralign="center" o:hrstd="t" o:hr="t" fillcolor="#a0a0a0" stroked="f"/>
        </w:pict>
      </w:r>
    </w:p>
    <w:p w14:paraId="32EF9357" w14:textId="77777777" w:rsidR="00490665" w:rsidRPr="00490665" w:rsidRDefault="00490665" w:rsidP="00490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06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Discussion and Conclusion</w:t>
      </w:r>
    </w:p>
    <w:p w14:paraId="2BF44F64" w14:textId="77777777" w:rsidR="00490665" w:rsidRPr="00490665" w:rsidRDefault="00490665" w:rsidP="004906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490665">
        <w:rPr>
          <w:rFonts w:ascii="Times New Roman" w:eastAsia="Times New Roman" w:hAnsi="Times New Roman" w:cs="Times New Roman"/>
          <w:kern w:val="0"/>
          <w14:ligatures w14:val="none"/>
        </w:rPr>
        <w:t xml:space="preserve">PK was approximately </w:t>
      </w:r>
      <w:r w:rsidRPr="00490665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dose-proportional across the 10–100 mg range.</w:t>
      </w:r>
    </w:p>
    <w:p w14:paraId="5696808D" w14:textId="77777777" w:rsidR="00490665" w:rsidRPr="00490665" w:rsidRDefault="00490665" w:rsidP="004906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0665">
        <w:rPr>
          <w:rFonts w:ascii="Times New Roman" w:eastAsia="Times New Roman" w:hAnsi="Times New Roman" w:cs="Times New Roman"/>
          <w:kern w:val="0"/>
          <w14:ligatures w14:val="none"/>
        </w:rPr>
        <w:t xml:space="preserve">The PD effect showed a clear </w:t>
      </w:r>
      <w:r w:rsidRPr="00490665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exposure–response relationship consistent</w:t>
      </w:r>
      <w:r w:rsidRPr="00490665">
        <w:rPr>
          <w:rFonts w:ascii="Times New Roman" w:eastAsia="Times New Roman" w:hAnsi="Times New Roman" w:cs="Times New Roman"/>
          <w:kern w:val="0"/>
          <w14:ligatures w14:val="none"/>
        </w:rPr>
        <w:t xml:space="preserve"> with target engagement.</w:t>
      </w:r>
    </w:p>
    <w:p w14:paraId="66CE772A" w14:textId="77777777" w:rsidR="00490665" w:rsidRPr="00490665" w:rsidRDefault="00490665" w:rsidP="004906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0665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No significant food or gender effect was observed</w:t>
      </w:r>
      <w:r w:rsidRPr="004906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BE6D36" w14:textId="77777777" w:rsidR="00490665" w:rsidRPr="00490665" w:rsidRDefault="00490665" w:rsidP="004906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0665">
        <w:rPr>
          <w:rFonts w:ascii="Times New Roman" w:eastAsia="Times New Roman" w:hAnsi="Times New Roman" w:cs="Times New Roman"/>
          <w:kern w:val="0"/>
          <w14:ligatures w14:val="none"/>
        </w:rPr>
        <w:t xml:space="preserve">The data </w:t>
      </w:r>
      <w:proofErr w:type="gramStart"/>
      <w:r w:rsidRPr="00490665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support</w:t>
      </w:r>
      <w:proofErr w:type="gramEnd"/>
      <w:r w:rsidRPr="00490665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the selection of 100 mg as the recommended phase II dose.</w:t>
      </w:r>
    </w:p>
    <w:p w14:paraId="39707A1F" w14:textId="77777777" w:rsidR="00490665" w:rsidRPr="00490665" w:rsidRDefault="00490665" w:rsidP="004906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0665">
        <w:rPr>
          <w:rFonts w:ascii="Times New Roman" w:eastAsia="Times New Roman" w:hAnsi="Times New Roman" w:cs="Times New Roman"/>
          <w:kern w:val="0"/>
          <w14:ligatures w14:val="none"/>
        </w:rPr>
        <w:pict w14:anchorId="7A47E50D">
          <v:rect id="_x0000_i1033" style="width:0;height:1.5pt" o:hralign="center" o:hrstd="t" o:hr="t" fillcolor="#a0a0a0" stroked="f"/>
        </w:pict>
      </w:r>
    </w:p>
    <w:p w14:paraId="2B09D85F" w14:textId="77777777" w:rsidR="00490665" w:rsidRPr="00490665" w:rsidRDefault="00490665" w:rsidP="00490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06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Appendices</w:t>
      </w:r>
    </w:p>
    <w:p w14:paraId="33BE7793" w14:textId="77777777" w:rsidR="00490665" w:rsidRPr="00490665" w:rsidRDefault="00490665" w:rsidP="004906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0665">
        <w:rPr>
          <w:rFonts w:ascii="Times New Roman" w:eastAsia="Times New Roman" w:hAnsi="Times New Roman" w:cs="Times New Roman"/>
          <w:kern w:val="0"/>
          <w14:ligatures w14:val="none"/>
        </w:rPr>
        <w:t>Individual concentration–time data</w:t>
      </w:r>
    </w:p>
    <w:p w14:paraId="2CFE0BAF" w14:textId="77777777" w:rsidR="00490665" w:rsidRPr="00490665" w:rsidRDefault="00490665" w:rsidP="004906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0665">
        <w:rPr>
          <w:rFonts w:ascii="Times New Roman" w:eastAsia="Times New Roman" w:hAnsi="Times New Roman" w:cs="Times New Roman"/>
          <w:kern w:val="0"/>
          <w14:ligatures w14:val="none"/>
        </w:rPr>
        <w:t>Raw PK/PD tables and listings</w:t>
      </w:r>
    </w:p>
    <w:p w14:paraId="291304C7" w14:textId="77777777" w:rsidR="00490665" w:rsidRPr="00490665" w:rsidRDefault="00490665" w:rsidP="004906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0665">
        <w:rPr>
          <w:rFonts w:ascii="Times New Roman" w:eastAsia="Times New Roman" w:hAnsi="Times New Roman" w:cs="Times New Roman"/>
          <w:kern w:val="0"/>
          <w14:ligatures w14:val="none"/>
        </w:rPr>
        <w:t>Model output summaries (NONMEM/</w:t>
      </w:r>
      <w:proofErr w:type="spellStart"/>
      <w:r w:rsidRPr="00490665">
        <w:rPr>
          <w:rFonts w:ascii="Times New Roman" w:eastAsia="Times New Roman" w:hAnsi="Times New Roman" w:cs="Times New Roman"/>
          <w:kern w:val="0"/>
          <w14:ligatures w14:val="none"/>
        </w:rPr>
        <w:t>WinNonlin</w:t>
      </w:r>
      <w:proofErr w:type="spellEnd"/>
      <w:r w:rsidRPr="0049066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9AB15B7" w14:textId="77777777" w:rsidR="00490665" w:rsidRPr="00490665" w:rsidRDefault="00490665" w:rsidP="004906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0665">
        <w:rPr>
          <w:rFonts w:ascii="Times New Roman" w:eastAsia="Times New Roman" w:hAnsi="Times New Roman" w:cs="Times New Roman"/>
          <w:kern w:val="0"/>
          <w14:ligatures w14:val="none"/>
        </w:rPr>
        <w:t>Analytical method validation summary</w:t>
      </w:r>
    </w:p>
    <w:p w14:paraId="13224200" w14:textId="77777777" w:rsidR="00011EA9" w:rsidRDefault="00011EA9"/>
    <w:sectPr w:rsidR="00011E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He, Dian (NIH/NICHD) [C]" w:date="2025-10-14T11:19:00Z" w:initials="DH">
    <w:p w14:paraId="06E52E06" w14:textId="77777777" w:rsidR="0039674E" w:rsidRDefault="0039674E" w:rsidP="0039674E">
      <w:pPr>
        <w:pStyle w:val="CommentText"/>
      </w:pPr>
      <w:r>
        <w:rPr>
          <w:rStyle w:val="CommentReference"/>
        </w:rPr>
        <w:annotationRef/>
      </w:r>
      <w:r>
        <w:rPr>
          <w:color w:val="001D35"/>
          <w:highlight w:val="white"/>
        </w:rPr>
        <w:t>The calculation of CL/F relies on the drug's dose and the area under the curve (AUC), which represents the total drug exposure over time. </w:t>
      </w:r>
      <w:r>
        <w:t xml:space="preserve"> </w:t>
      </w:r>
    </w:p>
  </w:comment>
  <w:comment w:id="1" w:author="He, Dian (NIH/NICHD) [C]" w:date="2025-10-14T11:27:00Z" w:initials="DH">
    <w:p w14:paraId="3876155E" w14:textId="77777777" w:rsidR="00DD2846" w:rsidRDefault="00DD2846" w:rsidP="00DD2846">
      <w:pPr>
        <w:pStyle w:val="CommentText"/>
      </w:pPr>
      <w:r>
        <w:rPr>
          <w:rStyle w:val="CommentReference"/>
        </w:rPr>
        <w:annotationRef/>
      </w:r>
      <w:r>
        <w:rPr>
          <w:color w:val="001D35"/>
          <w:highlight w:val="white"/>
        </w:rPr>
        <w:t>Imagine a drug is given orally at a dose of 500 mg. The resulting AUC is measured at 200 mg•h/L.</w:t>
      </w:r>
      <w:r>
        <w:t xml:space="preserve"> </w:t>
      </w:r>
    </w:p>
  </w:comment>
  <w:comment w:id="2" w:author="He, Dian (NIH/NICHD) [C]" w:date="2025-10-14T11:12:00Z" w:initials="DH">
    <w:p w14:paraId="2466FB5D" w14:textId="17425940" w:rsidR="00347715" w:rsidRDefault="00347715" w:rsidP="00347715">
      <w:pPr>
        <w:pStyle w:val="CommentText"/>
      </w:pPr>
      <w:r>
        <w:rPr>
          <w:rStyle w:val="CommentReference"/>
        </w:rPr>
        <w:annotationRef/>
      </w:r>
      <w:r>
        <w:t>Dose groups</w:t>
      </w:r>
    </w:p>
  </w:comment>
  <w:comment w:id="3" w:author="He, Dian (NIH/NICHD) [C]" w:date="2025-10-14T11:22:00Z" w:initials="DH">
    <w:p w14:paraId="693CBBF5" w14:textId="77777777" w:rsidR="0039674E" w:rsidRDefault="0039674E" w:rsidP="0039674E">
      <w:pPr>
        <w:pStyle w:val="CommentText"/>
      </w:pPr>
      <w:r>
        <w:rPr>
          <w:rStyle w:val="CommentReference"/>
        </w:rPr>
        <w:annotationRef/>
      </w:r>
      <w:r>
        <w:t xml:space="preserve">e.g. </w:t>
      </w:r>
    </w:p>
  </w:comment>
  <w:comment w:id="4" w:author="He, Dian (NIH/NICHD) [C]" w:date="2025-10-14T11:35:00Z" w:initials="DH">
    <w:p w14:paraId="2FCFF0BB" w14:textId="77777777" w:rsidR="00AB5691" w:rsidRDefault="00AB5691" w:rsidP="00AB5691">
      <w:pPr>
        <w:pStyle w:val="CommentText"/>
      </w:pPr>
      <w:r>
        <w:rPr>
          <w:rStyle w:val="CommentReference"/>
        </w:rPr>
        <w:annotationRef/>
      </w:r>
      <w:r>
        <w:t xml:space="preserve">i.e., the amount of drug available to produce a pharmacodynamic effect at a given time.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6E52E06" w15:done="0"/>
  <w15:commentEx w15:paraId="3876155E" w15:paraIdParent="06E52E06" w15:done="0"/>
  <w15:commentEx w15:paraId="2466FB5D" w15:done="0"/>
  <w15:commentEx w15:paraId="693CBBF5" w15:done="0"/>
  <w15:commentEx w15:paraId="2FCFF0B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A57F0E9" w16cex:dateUtc="2025-10-14T15:19:00Z"/>
  <w16cex:commentExtensible w16cex:durableId="11F12CA5" w16cex:dateUtc="2025-10-14T15:27:00Z"/>
  <w16cex:commentExtensible w16cex:durableId="6109D562" w16cex:dateUtc="2025-10-14T15:12:00Z"/>
  <w16cex:commentExtensible w16cex:durableId="4BD985D2" w16cex:dateUtc="2025-10-14T15:22:00Z"/>
  <w16cex:commentExtensible w16cex:durableId="3D377A9B" w16cex:dateUtc="2025-10-14T15:3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6E52E06" w16cid:durableId="3A57F0E9"/>
  <w16cid:commentId w16cid:paraId="3876155E" w16cid:durableId="11F12CA5"/>
  <w16cid:commentId w16cid:paraId="2466FB5D" w16cid:durableId="6109D562"/>
  <w16cid:commentId w16cid:paraId="693CBBF5" w16cid:durableId="4BD985D2"/>
  <w16cid:commentId w16cid:paraId="2FCFF0BB" w16cid:durableId="3D377A9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00341"/>
    <w:multiLevelType w:val="multilevel"/>
    <w:tmpl w:val="EAF0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A049C2"/>
    <w:multiLevelType w:val="multilevel"/>
    <w:tmpl w:val="952E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BC7E16"/>
    <w:multiLevelType w:val="multilevel"/>
    <w:tmpl w:val="A8C4F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A06194"/>
    <w:multiLevelType w:val="multilevel"/>
    <w:tmpl w:val="4C84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8268230">
    <w:abstractNumId w:val="0"/>
  </w:num>
  <w:num w:numId="2" w16cid:durableId="757215891">
    <w:abstractNumId w:val="1"/>
  </w:num>
  <w:num w:numId="3" w16cid:durableId="897666812">
    <w:abstractNumId w:val="3"/>
  </w:num>
  <w:num w:numId="4" w16cid:durableId="1292134022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e, Dian (NIH/NICHD) [C]">
    <w15:presenceInfo w15:providerId="AD" w15:userId="S::hed2@nih.gov::bfc133a4-47a1-466a-875e-2047ef2005e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665"/>
    <w:rsid w:val="00011EA9"/>
    <w:rsid w:val="00100858"/>
    <w:rsid w:val="0021608A"/>
    <w:rsid w:val="002C0478"/>
    <w:rsid w:val="00347715"/>
    <w:rsid w:val="0039674E"/>
    <w:rsid w:val="00490665"/>
    <w:rsid w:val="005F77E6"/>
    <w:rsid w:val="00A8766C"/>
    <w:rsid w:val="00AB5691"/>
    <w:rsid w:val="00BE10A7"/>
    <w:rsid w:val="00D62CD3"/>
    <w:rsid w:val="00DD0CCF"/>
    <w:rsid w:val="00DD2846"/>
    <w:rsid w:val="00DF0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54416"/>
  <w15:chartTrackingRefBased/>
  <w15:docId w15:val="{3CD2FD0B-5111-4149-AD51-EFE278D11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6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6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6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6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6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6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6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6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6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6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6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665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34771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4771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4771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4771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47715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AB56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B5691"/>
    <w:rPr>
      <w:i/>
      <w:iCs/>
    </w:rPr>
  </w:style>
  <w:style w:type="character" w:styleId="Strong">
    <w:name w:val="Strong"/>
    <w:basedOn w:val="DefaultParagraphFont"/>
    <w:uiPriority w:val="22"/>
    <w:qFormat/>
    <w:rsid w:val="002160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4</Pages>
  <Words>655</Words>
  <Characters>3738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NICHD</Company>
  <LinksUpToDate>false</LinksUpToDate>
  <CharactersWithSpaces>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He, Dian (NIH/NICHD) [C]</dc:creator>
  <cp:keywords/>
  <dc:description/>
  <cp:lastModifiedBy>He, Dian (NIH/NICHD) [C]</cp:lastModifiedBy>
  <cp:revision>11</cp:revision>
  <dcterms:created xsi:type="dcterms:W3CDTF">2025-10-14T14:00:00Z</dcterms:created>
  <dcterms:modified xsi:type="dcterms:W3CDTF">2025-10-14T15:41:00Z</dcterms:modified>
</cp:coreProperties>
</file>