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Plan: Safety and Efficacy of the Xanomeline Transdermal Therapeutic System (TTS) in Patients with Mild to Moderate Alzheimer’s Disease</w:t>
      </w:r>
    </w:p>
    <w:p>
      <w:pPr>
        <w:pStyle w:val="Heading2"/>
      </w:pPr>
      <w:r>
        <w:t>1. Project Objectives</w:t>
      </w:r>
    </w:p>
    <w:p>
      <w:r>
        <w:t>• Evaluate the efficacy of Xanomeline TTS in patients with mild to moderate Alzheimer’s disease using standardized scales such as ADAS-Cog, CIBIC+, and NPI.</w:t>
      </w:r>
    </w:p>
    <w:p>
      <w:r>
        <w:t>• Assess safety by recording and analyzing adverse events (AEs/SAEs), vital signs, laboratory tests, and skin reactions.</w:t>
      </w:r>
    </w:p>
    <w:p>
      <w:r>
        <w:t>• Investigate pharmacokinetics (PK) and tolerability to understand dose–response relationships.</w:t>
      </w:r>
    </w:p>
    <w:p>
      <w:r>
        <w:t>• Standardize and prepare clinical data for FDA submission in CDISC SDTM and ADaM format.</w:t>
      </w:r>
    </w:p>
    <w:p>
      <w:pPr>
        <w:pStyle w:val="Heading2"/>
      </w:pPr>
      <w:r>
        <w:t>2. Success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Target / Success Criteria</w:t>
            </w:r>
          </w:p>
        </w:tc>
      </w:tr>
      <w:tr>
        <w:tc>
          <w:tcPr>
            <w:tcW w:type="dxa" w:w="4320"/>
          </w:tcPr>
          <w:p>
            <w:r>
              <w:t>Efficacy</w:t>
            </w:r>
          </w:p>
        </w:tc>
        <w:tc>
          <w:tcPr>
            <w:tcW w:type="dxa" w:w="4320"/>
          </w:tcPr>
          <w:p>
            <w:r>
              <w:t>Primary endpoint (ADAS-Cog) improvement with p &lt; 0.05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No significant unexpected drug-related serious adverse events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Completion rate ≥ 85%</w:t>
            </w:r>
          </w:p>
        </w:tc>
      </w:tr>
      <w:tr>
        <w:tc>
          <w:tcPr>
            <w:tcW w:type="dxa" w:w="4320"/>
          </w:tcPr>
          <w:p>
            <w:r>
              <w:t>Data Quality</w:t>
            </w:r>
          </w:p>
        </w:tc>
        <w:tc>
          <w:tcPr>
            <w:tcW w:type="dxa" w:w="4320"/>
          </w:tcPr>
          <w:p>
            <w:r>
              <w:t>Query rate &lt; 5%; data error rate &lt; 1% before data lock</w:t>
            </w:r>
          </w:p>
        </w:tc>
      </w:tr>
      <w:tr>
        <w:tc>
          <w:tcPr>
            <w:tcW w:type="dxa" w:w="4320"/>
          </w:tcPr>
          <w:p>
            <w:r>
              <w:t>Regulatory Compliance</w:t>
            </w:r>
          </w:p>
        </w:tc>
        <w:tc>
          <w:tcPr>
            <w:tcW w:type="dxa" w:w="4320"/>
          </w:tcPr>
          <w:p>
            <w:r>
              <w:t>No major findings in ICH-GCP and FDA inspections</w:t>
            </w:r>
          </w:p>
        </w:tc>
      </w:tr>
      <w:tr>
        <w:tc>
          <w:tcPr>
            <w:tcW w:type="dxa" w:w="4320"/>
          </w:tcPr>
          <w:p>
            <w:r>
              <w:t>Submission Quality</w:t>
            </w:r>
          </w:p>
        </w:tc>
        <w:tc>
          <w:tcPr>
            <w:tcW w:type="dxa" w:w="4320"/>
          </w:tcPr>
          <w:p>
            <w:r>
              <w:t>FDA eCTD submission passes validation</w:t>
            </w:r>
          </w:p>
        </w:tc>
      </w:tr>
    </w:tbl>
    <w:p>
      <w:pPr>
        <w:pStyle w:val="Heading2"/>
      </w:pPr>
      <w:r>
        <w:t>3. Milestones and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Study Preparation</w:t>
            </w:r>
          </w:p>
        </w:tc>
        <w:tc>
          <w:tcPr>
            <w:tcW w:type="dxa" w:w="2880"/>
          </w:tcPr>
          <w:p>
            <w:r>
              <w:t>IND approval, site selection, investigator training</w:t>
            </w:r>
          </w:p>
        </w:tc>
        <w:tc>
          <w:tcPr>
            <w:tcW w:type="dxa" w:w="2880"/>
          </w:tcPr>
          <w:p>
            <w:r>
              <w:t>Protocol, IB, ICF, Site initiation package</w:t>
            </w:r>
          </w:p>
        </w:tc>
      </w:tr>
      <w:tr>
        <w:tc>
          <w:tcPr>
            <w:tcW w:type="dxa" w:w="2880"/>
          </w:tcPr>
          <w:p>
            <w:r>
              <w:t>Patient Enrollment &amp; Treatment</w:t>
            </w:r>
          </w:p>
        </w:tc>
        <w:tc>
          <w:tcPr>
            <w:tcW w:type="dxa" w:w="2880"/>
          </w:tcPr>
          <w:p>
            <w:r>
              <w:t>Target enrollment completed</w:t>
            </w:r>
          </w:p>
        </w:tc>
        <w:tc>
          <w:tcPr>
            <w:tcW w:type="dxa" w:w="2880"/>
          </w:tcPr>
          <w:p>
            <w:r>
              <w:t>Enrollment logs, Treatment records</w:t>
            </w:r>
          </w:p>
        </w:tc>
      </w:tr>
      <w:tr>
        <w:tc>
          <w:tcPr>
            <w:tcW w:type="dxa" w:w="2880"/>
          </w:tcPr>
          <w:p>
            <w:r>
              <w:t>Interim Analysis</w:t>
            </w:r>
          </w:p>
        </w:tc>
        <w:tc>
          <w:tcPr>
            <w:tcW w:type="dxa" w:w="2880"/>
          </w:tcPr>
          <w:p>
            <w:r>
              <w:t>Blind interim analysis completed</w:t>
            </w:r>
          </w:p>
        </w:tc>
        <w:tc>
          <w:tcPr>
            <w:tcW w:type="dxa" w:w="2880"/>
          </w:tcPr>
          <w:p>
            <w:r>
              <w:t>Interim analysis report</w:t>
            </w:r>
          </w:p>
        </w:tc>
      </w:tr>
      <w:tr>
        <w:tc>
          <w:tcPr>
            <w:tcW w:type="dxa" w:w="2880"/>
          </w:tcPr>
          <w:p>
            <w:r>
              <w:t>Data Collection &amp; Lock</w:t>
            </w:r>
          </w:p>
        </w:tc>
        <w:tc>
          <w:tcPr>
            <w:tcW w:type="dxa" w:w="2880"/>
          </w:tcPr>
          <w:p>
            <w:r>
              <w:t>Database locked</w:t>
            </w:r>
          </w:p>
        </w:tc>
        <w:tc>
          <w:tcPr>
            <w:tcW w:type="dxa" w:w="2880"/>
          </w:tcPr>
          <w:p>
            <w:r>
              <w:t>Final locked SDTM datasets</w:t>
            </w:r>
          </w:p>
        </w:tc>
      </w:tr>
      <w:tr>
        <w:tc>
          <w:tcPr>
            <w:tcW w:type="dxa" w:w="2880"/>
          </w:tcPr>
          <w:p>
            <w:r>
              <w:t>Statistical Analysis &amp; CSR</w:t>
            </w:r>
          </w:p>
        </w:tc>
        <w:tc>
          <w:tcPr>
            <w:tcW w:type="dxa" w:w="2880"/>
          </w:tcPr>
          <w:p>
            <w:r>
              <w:t>Final analysis and report completed</w:t>
            </w:r>
          </w:p>
        </w:tc>
        <w:tc>
          <w:tcPr>
            <w:tcW w:type="dxa" w:w="2880"/>
          </w:tcPr>
          <w:p>
            <w:r>
              <w:t>TLFs, ADaM datasets, CSR</w:t>
            </w:r>
          </w:p>
        </w:tc>
      </w:tr>
      <w:tr>
        <w:tc>
          <w:tcPr>
            <w:tcW w:type="dxa" w:w="2880"/>
          </w:tcPr>
          <w:p>
            <w:r>
              <w:t>eCTD Submission</w:t>
            </w:r>
          </w:p>
        </w:tc>
        <w:tc>
          <w:tcPr>
            <w:tcW w:type="dxa" w:w="2880"/>
          </w:tcPr>
          <w:p>
            <w:r>
              <w:t>Submission to FDA completed</w:t>
            </w:r>
          </w:p>
        </w:tc>
        <w:tc>
          <w:tcPr>
            <w:tcW w:type="dxa" w:w="2880"/>
          </w:tcPr>
          <w:p>
            <w:r>
              <w:t>eCTD submission package</w:t>
            </w:r>
          </w:p>
        </w:tc>
      </w:tr>
    </w:tbl>
    <w:p>
      <w:pPr>
        <w:pStyle w:val="Heading2"/>
      </w:pPr>
      <w:r>
        <w:t>4. Project Timeline (06 Jul 2012 – 05 Mar 2015)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Responsible Position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</w:tr>
      <w:tr>
        <w:tc>
          <w:tcPr>
            <w:tcW w:type="dxa" w:w="1728"/>
          </w:tcPr>
          <w:p>
            <w:r>
              <w:t>1. Initiation &amp; Preparation</w:t>
            </w:r>
          </w:p>
        </w:tc>
        <w:tc>
          <w:tcPr>
            <w:tcW w:type="dxa" w:w="1728"/>
          </w:tcPr>
          <w:p>
            <w:r>
              <w:t>Project initiation and budget approval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06 Jul 2012</w:t>
            </w:r>
          </w:p>
        </w:tc>
        <w:tc>
          <w:tcPr>
            <w:tcW w:type="dxa" w:w="1728"/>
          </w:tcPr>
          <w:p>
            <w:r>
              <w:t>20 Jul 2012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Protocol development and review</w:t>
            </w:r>
          </w:p>
        </w:tc>
        <w:tc>
          <w:tcPr>
            <w:tcW w:type="dxa" w:w="1728"/>
          </w:tcPr>
          <w:p>
            <w:r>
              <w:t>Medical Director / Biostatistician / Clinical Lead</w:t>
            </w:r>
          </w:p>
        </w:tc>
        <w:tc>
          <w:tcPr>
            <w:tcW w:type="dxa" w:w="1728"/>
          </w:tcPr>
          <w:p>
            <w:r>
              <w:t>10 Jul 2012</w:t>
            </w:r>
          </w:p>
        </w:tc>
        <w:tc>
          <w:tcPr>
            <w:tcW w:type="dxa" w:w="1728"/>
          </w:tcPr>
          <w:p>
            <w:r>
              <w:t>30 Aug 2012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Preparation of IB and ICF</w:t>
            </w:r>
          </w:p>
        </w:tc>
        <w:tc>
          <w:tcPr>
            <w:tcW w:type="dxa" w:w="1728"/>
          </w:tcPr>
          <w:p>
            <w:r>
              <w:t>Medical Writer / Regulatory Affairs</w:t>
            </w:r>
          </w:p>
        </w:tc>
        <w:tc>
          <w:tcPr>
            <w:tcW w:type="dxa" w:w="1728"/>
          </w:tcPr>
          <w:p>
            <w:r>
              <w:t>01 Aug 2012</w:t>
            </w:r>
          </w:p>
        </w:tc>
        <w:tc>
          <w:tcPr>
            <w:tcW w:type="dxa" w:w="1728"/>
          </w:tcPr>
          <w:p>
            <w:r>
              <w:t>15 Sep 2012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IRB/EC and IND submission</w:t>
            </w:r>
          </w:p>
        </w:tc>
        <w:tc>
          <w:tcPr>
            <w:tcW w:type="dxa" w:w="1728"/>
          </w:tcPr>
          <w:p>
            <w:r>
              <w:t>Regulatory Affairs Specialist</w:t>
            </w:r>
          </w:p>
        </w:tc>
        <w:tc>
          <w:tcPr>
            <w:tcW w:type="dxa" w:w="1728"/>
          </w:tcPr>
          <w:p>
            <w:r>
              <w:t>10 Aug 2012</w:t>
            </w:r>
          </w:p>
        </w:tc>
        <w:tc>
          <w:tcPr>
            <w:tcW w:type="dxa" w:w="1728"/>
          </w:tcPr>
          <w:p>
            <w:r>
              <w:t>10 Oct 2012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Site selection and contract execution</w:t>
            </w:r>
          </w:p>
        </w:tc>
        <w:tc>
          <w:tcPr>
            <w:tcW w:type="dxa" w:w="1728"/>
          </w:tcPr>
          <w:p>
            <w:r>
              <w:t>Clinical Operations / Legal</w:t>
            </w:r>
          </w:p>
        </w:tc>
        <w:tc>
          <w:tcPr>
            <w:tcW w:type="dxa" w:w="1728"/>
          </w:tcPr>
          <w:p>
            <w:r>
              <w:t>01 Sep 2012</w:t>
            </w:r>
          </w:p>
        </w:tc>
        <w:tc>
          <w:tcPr>
            <w:tcW w:type="dxa" w:w="1728"/>
          </w:tcPr>
          <w:p>
            <w:r>
              <w:t>30 Oct 2012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Investigator training and site initiation</w:t>
            </w:r>
          </w:p>
        </w:tc>
        <w:tc>
          <w:tcPr>
            <w:tcW w:type="dxa" w:w="1728"/>
          </w:tcPr>
          <w:p>
            <w:r>
              <w:t>CRA</w:t>
            </w:r>
          </w:p>
        </w:tc>
        <w:tc>
          <w:tcPr>
            <w:tcW w:type="dxa" w:w="1728"/>
          </w:tcPr>
          <w:p>
            <w:r>
              <w:t>20 Oct 2012</w:t>
            </w:r>
          </w:p>
        </w:tc>
        <w:tc>
          <w:tcPr>
            <w:tcW w:type="dxa" w:w="1728"/>
          </w:tcPr>
          <w:p>
            <w:r>
              <w:t>15 Nov 2012</w:t>
            </w:r>
          </w:p>
        </w:tc>
      </w:tr>
      <w:tr>
        <w:tc>
          <w:tcPr>
            <w:tcW w:type="dxa" w:w="1728"/>
          </w:tcPr>
          <w:p>
            <w:r>
              <w:t>2. Enrollment &amp; Treatment</w:t>
            </w:r>
          </w:p>
        </w:tc>
        <w:tc>
          <w:tcPr>
            <w:tcW w:type="dxa" w:w="1728"/>
          </w:tcPr>
          <w:p>
            <w:r>
              <w:t>Screening and randomization</w:t>
            </w:r>
          </w:p>
        </w:tc>
        <w:tc>
          <w:tcPr>
            <w:tcW w:type="dxa" w:w="1728"/>
          </w:tcPr>
          <w:p>
            <w:r>
              <w:t>Investigator / Site Staff</w:t>
            </w:r>
          </w:p>
        </w:tc>
        <w:tc>
          <w:tcPr>
            <w:tcW w:type="dxa" w:w="1728"/>
          </w:tcPr>
          <w:p>
            <w:r>
              <w:t>15 Nov 2012</w:t>
            </w:r>
          </w:p>
        </w:tc>
        <w:tc>
          <w:tcPr>
            <w:tcW w:type="dxa" w:w="1728"/>
          </w:tcPr>
          <w:p>
            <w:r>
              <w:t>30 Jun 2013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Treatment administration and monitoring</w:t>
            </w:r>
          </w:p>
        </w:tc>
        <w:tc>
          <w:tcPr>
            <w:tcW w:type="dxa" w:w="1728"/>
          </w:tcPr>
          <w:p>
            <w:r>
              <w:t>CRA / Site Staff</w:t>
            </w:r>
          </w:p>
        </w:tc>
        <w:tc>
          <w:tcPr>
            <w:tcW w:type="dxa" w:w="1728"/>
          </w:tcPr>
          <w:p>
            <w:r>
              <w:t>01 Dec 2012</w:t>
            </w:r>
          </w:p>
        </w:tc>
        <w:tc>
          <w:tcPr>
            <w:tcW w:type="dxa" w:w="1728"/>
          </w:tcPr>
          <w:p>
            <w:r>
              <w:t>31 Mar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Safety reporting and drug accountability</w:t>
            </w:r>
          </w:p>
        </w:tc>
        <w:tc>
          <w:tcPr>
            <w:tcW w:type="dxa" w:w="1728"/>
          </w:tcPr>
          <w:p>
            <w:r>
              <w:t>Safety Officer / Pharmacovigilance</w:t>
            </w:r>
          </w:p>
        </w:tc>
        <w:tc>
          <w:tcPr>
            <w:tcW w:type="dxa" w:w="1728"/>
          </w:tcPr>
          <w:p>
            <w:r>
              <w:t>01 Dec 2012</w:t>
            </w:r>
          </w:p>
        </w:tc>
        <w:tc>
          <w:tcPr>
            <w:tcW w:type="dxa" w:w="1728"/>
          </w:tcPr>
          <w:p>
            <w:r>
              <w:t>31 Mar 2014</w:t>
            </w:r>
          </w:p>
        </w:tc>
      </w:tr>
      <w:tr>
        <w:tc>
          <w:tcPr>
            <w:tcW w:type="dxa" w:w="1728"/>
          </w:tcPr>
          <w:p>
            <w:r>
              <w:t>3. Interim Analysis</w:t>
            </w:r>
          </w:p>
        </w:tc>
        <w:tc>
          <w:tcPr>
            <w:tcW w:type="dxa" w:w="1728"/>
          </w:tcPr>
          <w:p>
            <w:r>
              <w:t>Interim data cut</w:t>
            </w:r>
          </w:p>
        </w:tc>
        <w:tc>
          <w:tcPr>
            <w:tcW w:type="dxa" w:w="1728"/>
          </w:tcPr>
          <w:p>
            <w:r>
              <w:t>Data Management Lead</w:t>
            </w:r>
          </w:p>
        </w:tc>
        <w:tc>
          <w:tcPr>
            <w:tcW w:type="dxa" w:w="1728"/>
          </w:tcPr>
          <w:p>
            <w:r>
              <w:t>01 Jul 2013</w:t>
            </w:r>
          </w:p>
        </w:tc>
        <w:tc>
          <w:tcPr>
            <w:tcW w:type="dxa" w:w="1728"/>
          </w:tcPr>
          <w:p>
            <w:r>
              <w:t>15 Jul 2013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Blind interim analysis meeting</w:t>
            </w:r>
          </w:p>
        </w:tc>
        <w:tc>
          <w:tcPr>
            <w:tcW w:type="dxa" w:w="1728"/>
          </w:tcPr>
          <w:p>
            <w:r>
              <w:t>Biostatistician / Medical Monitor</w:t>
            </w:r>
          </w:p>
        </w:tc>
        <w:tc>
          <w:tcPr>
            <w:tcW w:type="dxa" w:w="1728"/>
          </w:tcPr>
          <w:p>
            <w:r>
              <w:t>15 Jul 2013</w:t>
            </w:r>
          </w:p>
        </w:tc>
        <w:tc>
          <w:tcPr>
            <w:tcW w:type="dxa" w:w="1728"/>
          </w:tcPr>
          <w:p>
            <w:r>
              <w:t>15 Aug 2013</w:t>
            </w:r>
          </w:p>
        </w:tc>
      </w:tr>
      <w:tr>
        <w:tc>
          <w:tcPr>
            <w:tcW w:type="dxa" w:w="1728"/>
          </w:tcPr>
          <w:p>
            <w:r>
              <w:t>4. Data Collection &amp; Lock</w:t>
            </w:r>
          </w:p>
        </w:tc>
        <w:tc>
          <w:tcPr>
            <w:tcW w:type="dxa" w:w="1728"/>
          </w:tcPr>
          <w:p>
            <w:r>
              <w:t>EDC review and query resolution</w:t>
            </w:r>
          </w:p>
        </w:tc>
        <w:tc>
          <w:tcPr>
            <w:tcW w:type="dxa" w:w="1728"/>
          </w:tcPr>
          <w:p>
            <w:r>
              <w:t>Data Management</w:t>
            </w:r>
          </w:p>
        </w:tc>
        <w:tc>
          <w:tcPr>
            <w:tcW w:type="dxa" w:w="1728"/>
          </w:tcPr>
          <w:p>
            <w:r>
              <w:t>01 Apr 2013</w:t>
            </w:r>
          </w:p>
        </w:tc>
        <w:tc>
          <w:tcPr>
            <w:tcW w:type="dxa" w:w="1728"/>
          </w:tcPr>
          <w:p>
            <w:r>
              <w:t>30 Apr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lock</w:t>
            </w:r>
          </w:p>
        </w:tc>
        <w:tc>
          <w:tcPr>
            <w:tcW w:type="dxa" w:w="1728"/>
          </w:tcPr>
          <w:p>
            <w:r>
              <w:t>Data Management Lead / PM</w:t>
            </w:r>
          </w:p>
        </w:tc>
        <w:tc>
          <w:tcPr>
            <w:tcW w:type="dxa" w:w="1728"/>
          </w:tcPr>
          <w:p>
            <w:r>
              <w:t>01 May 2014</w:t>
            </w:r>
          </w:p>
        </w:tc>
        <w:tc>
          <w:tcPr>
            <w:tcW w:type="dxa" w:w="1728"/>
          </w:tcPr>
          <w:p>
            <w:r>
              <w:t>15 May 2014</w:t>
            </w:r>
          </w:p>
        </w:tc>
      </w:tr>
      <w:tr>
        <w:tc>
          <w:tcPr>
            <w:tcW w:type="dxa" w:w="1728"/>
          </w:tcPr>
          <w:p>
            <w:r>
              <w:t>5. Statistical Analysis &amp; Reporting</w:t>
            </w:r>
          </w:p>
        </w:tc>
        <w:tc>
          <w:tcPr>
            <w:tcW w:type="dxa" w:w="1728"/>
          </w:tcPr>
          <w:p>
            <w:r>
              <w:t>SAP development and approval</w:t>
            </w:r>
          </w:p>
        </w:tc>
        <w:tc>
          <w:tcPr>
            <w:tcW w:type="dxa" w:w="1728"/>
          </w:tcPr>
          <w:p>
            <w:r>
              <w:t>Biostatistician / PM</w:t>
            </w:r>
          </w:p>
        </w:tc>
        <w:tc>
          <w:tcPr>
            <w:tcW w:type="dxa" w:w="1728"/>
          </w:tcPr>
          <w:p>
            <w:r>
              <w:t>15 Apr 2014</w:t>
            </w:r>
          </w:p>
        </w:tc>
        <w:tc>
          <w:tcPr>
            <w:tcW w:type="dxa" w:w="1728"/>
          </w:tcPr>
          <w:p>
            <w:r>
              <w:t>15 May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Primary and secondary endpoint analysis</w:t>
            </w:r>
          </w:p>
        </w:tc>
        <w:tc>
          <w:tcPr>
            <w:tcW w:type="dxa" w:w="1728"/>
          </w:tcPr>
          <w:p>
            <w:r>
              <w:t>Biostatistics Team</w:t>
            </w:r>
          </w:p>
        </w:tc>
        <w:tc>
          <w:tcPr>
            <w:tcW w:type="dxa" w:w="1728"/>
          </w:tcPr>
          <w:p>
            <w:r>
              <w:t>16 May 2014</w:t>
            </w:r>
          </w:p>
        </w:tc>
        <w:tc>
          <w:tcPr>
            <w:tcW w:type="dxa" w:w="1728"/>
          </w:tcPr>
          <w:p>
            <w:r>
              <w:t>30 Jun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Safety analysis and integration</w:t>
            </w:r>
          </w:p>
        </w:tc>
        <w:tc>
          <w:tcPr>
            <w:tcW w:type="dxa" w:w="1728"/>
          </w:tcPr>
          <w:p>
            <w:r>
              <w:t>Safety Statistician</w:t>
            </w:r>
          </w:p>
        </w:tc>
        <w:tc>
          <w:tcPr>
            <w:tcW w:type="dxa" w:w="1728"/>
          </w:tcPr>
          <w:p>
            <w:r>
              <w:t>01 Jun 2014</w:t>
            </w:r>
          </w:p>
        </w:tc>
        <w:tc>
          <w:tcPr>
            <w:tcW w:type="dxa" w:w="1728"/>
          </w:tcPr>
          <w:p>
            <w:r>
              <w:t>15 Jul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TLFs generation</w:t>
            </w:r>
          </w:p>
        </w:tc>
        <w:tc>
          <w:tcPr>
            <w:tcW w:type="dxa" w:w="1728"/>
          </w:tcPr>
          <w:p>
            <w:r>
              <w:t>Statistical Programmer</w:t>
            </w:r>
          </w:p>
        </w:tc>
        <w:tc>
          <w:tcPr>
            <w:tcW w:type="dxa" w:w="1728"/>
          </w:tcPr>
          <w:p>
            <w:r>
              <w:t>15 Jun 2014</w:t>
            </w:r>
          </w:p>
        </w:tc>
        <w:tc>
          <w:tcPr>
            <w:tcW w:type="dxa" w:w="1728"/>
          </w:tcPr>
          <w:p>
            <w:r>
              <w:t>31 Jul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CSR drafting and review</w:t>
            </w:r>
          </w:p>
        </w:tc>
        <w:tc>
          <w:tcPr>
            <w:tcW w:type="dxa" w:w="1728"/>
          </w:tcPr>
          <w:p>
            <w:r>
              <w:t>Medical Writer / PM / Statistician</w:t>
            </w:r>
          </w:p>
        </w:tc>
        <w:tc>
          <w:tcPr>
            <w:tcW w:type="dxa" w:w="1728"/>
          </w:tcPr>
          <w:p>
            <w:r>
              <w:t>01 Aug 2014</w:t>
            </w:r>
          </w:p>
        </w:tc>
        <w:tc>
          <w:tcPr>
            <w:tcW w:type="dxa" w:w="1728"/>
          </w:tcPr>
          <w:p>
            <w:r>
              <w:t>30 Sep 2014</w:t>
            </w:r>
          </w:p>
        </w:tc>
      </w:tr>
      <w:tr>
        <w:tc>
          <w:tcPr>
            <w:tcW w:type="dxa" w:w="1728"/>
          </w:tcPr>
          <w:p>
            <w:r>
              <w:t>6. Submission &amp; Close-out</w:t>
            </w:r>
          </w:p>
        </w:tc>
        <w:tc>
          <w:tcPr>
            <w:tcW w:type="dxa" w:w="1728"/>
          </w:tcPr>
          <w:p>
            <w:r>
              <w:t>SDTM and ADaM dataset preparation</w:t>
            </w:r>
          </w:p>
        </w:tc>
        <w:tc>
          <w:tcPr>
            <w:tcW w:type="dxa" w:w="1728"/>
          </w:tcPr>
          <w:p>
            <w:r>
              <w:t>Statistical Programmer</w:t>
            </w:r>
          </w:p>
        </w:tc>
        <w:tc>
          <w:tcPr>
            <w:tcW w:type="dxa" w:w="1728"/>
          </w:tcPr>
          <w:p>
            <w:r>
              <w:t>01 Jul 2014</w:t>
            </w:r>
          </w:p>
        </w:tc>
        <w:tc>
          <w:tcPr>
            <w:tcW w:type="dxa" w:w="1728"/>
          </w:tcPr>
          <w:p>
            <w:r>
              <w:t>31 Oct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eCTD clinical module preparation</w:t>
            </w:r>
          </w:p>
        </w:tc>
        <w:tc>
          <w:tcPr>
            <w:tcW w:type="dxa" w:w="1728"/>
          </w:tcPr>
          <w:p>
            <w:r>
              <w:t>Regulatory Submissions Team</w:t>
            </w:r>
          </w:p>
        </w:tc>
        <w:tc>
          <w:tcPr>
            <w:tcW w:type="dxa" w:w="1728"/>
          </w:tcPr>
          <w:p>
            <w:r>
              <w:t>01 Oct 2014</w:t>
            </w:r>
          </w:p>
        </w:tc>
        <w:tc>
          <w:tcPr>
            <w:tcW w:type="dxa" w:w="1728"/>
          </w:tcPr>
          <w:p>
            <w:r>
              <w:t>15 Dec 2014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Internal QA review</w:t>
            </w:r>
          </w:p>
        </w:tc>
        <w:tc>
          <w:tcPr>
            <w:tcW w:type="dxa" w:w="1728"/>
          </w:tcPr>
          <w:p>
            <w:r>
              <w:t>QA Lead / PM</w:t>
            </w:r>
          </w:p>
        </w:tc>
        <w:tc>
          <w:tcPr>
            <w:tcW w:type="dxa" w:w="1728"/>
          </w:tcPr>
          <w:p>
            <w:r>
              <w:t>15 Dec 2014</w:t>
            </w:r>
          </w:p>
        </w:tc>
        <w:tc>
          <w:tcPr>
            <w:tcW w:type="dxa" w:w="1728"/>
          </w:tcPr>
          <w:p>
            <w:r>
              <w:t>15 Jan 2015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FDA clinical submission (eCTD)</w:t>
            </w:r>
          </w:p>
        </w:tc>
        <w:tc>
          <w:tcPr>
            <w:tcW w:type="dxa" w:w="1728"/>
          </w:tcPr>
          <w:p>
            <w:r>
              <w:t>Regulatory Affairs</w:t>
            </w:r>
          </w:p>
        </w:tc>
        <w:tc>
          <w:tcPr>
            <w:tcW w:type="dxa" w:w="1728"/>
          </w:tcPr>
          <w:p>
            <w:r>
              <w:t>01 Feb 2015</w:t>
            </w:r>
          </w:p>
        </w:tc>
        <w:tc>
          <w:tcPr>
            <w:tcW w:type="dxa" w:w="1728"/>
          </w:tcPr>
          <w:p>
            <w:r>
              <w:t>05 Mar 2015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Project closure and lessons learned</w:t>
            </w:r>
          </w:p>
        </w:tc>
        <w:tc>
          <w:tcPr>
            <w:tcW w:type="dxa" w:w="1728"/>
          </w:tcPr>
          <w:p>
            <w:r>
              <w:t>Project Manager / Clinical Team</w:t>
            </w:r>
          </w:p>
        </w:tc>
        <w:tc>
          <w:tcPr>
            <w:tcW w:type="dxa" w:w="1728"/>
          </w:tcPr>
          <w:p>
            <w:r>
              <w:t>01 Mar 2015</w:t>
            </w:r>
          </w:p>
        </w:tc>
        <w:tc>
          <w:tcPr>
            <w:tcW w:type="dxa" w:w="1728"/>
          </w:tcPr>
          <w:p>
            <w:r>
              <w:t>05 Mar 2015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