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C929" w14:textId="0679CB58" w:rsidR="00280C02" w:rsidRPr="00280C02" w:rsidRDefault="00280C02" w:rsidP="00280C0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 w:hint="eastAsia"/>
          <w:b/>
          <w:bCs/>
          <w:kern w:val="36"/>
          <w:sz w:val="48"/>
          <w:szCs w:val="48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α Allocation Tables in </w:t>
      </w:r>
      <w:r>
        <w:rPr>
          <w:rFonts w:ascii="Times New Roman" w:hAnsi="Times New Roman" w:cs="Times New Roman" w:hint="eastAsia"/>
          <w:b/>
          <w:bCs/>
          <w:kern w:val="36"/>
          <w:sz w:val="48"/>
          <w:szCs w:val="48"/>
          <w14:ligatures w14:val="none"/>
        </w:rPr>
        <w:t xml:space="preserve">seamless, adaptive, group sequential design </w:t>
      </w:r>
    </w:p>
    <w:p w14:paraId="15C62528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 xml:space="preserve">This example reflects a </w:t>
      </w: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registrational Phase II/III seamless trial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 xml:space="preserve"> incorporating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+ adaptive (dose/population selection) + group sequential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 xml:space="preserve"> elements.</w:t>
      </w:r>
    </w:p>
    <w:p w14:paraId="6D8C1B49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28578B90">
          <v:rect id="_x0000_i1025" style="width:0;height:1.5pt" o:hralign="center" o:hrstd="t" o:hr="t" fillcolor="#a0a0a0" stroked="f"/>
        </w:pict>
      </w:r>
    </w:p>
    <w:p w14:paraId="32FFC2B8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Trial Assumptions (for context)</w:t>
      </w:r>
    </w:p>
    <w:p w14:paraId="18DDE8C9" w14:textId="77777777" w:rsidR="00280C02" w:rsidRPr="00280C02" w:rsidRDefault="00280C02" w:rsidP="00280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type I error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: Two-sided α = 0.05</w:t>
      </w:r>
    </w:p>
    <w:p w14:paraId="143815A1" w14:textId="77777777" w:rsidR="00280C02" w:rsidRPr="00280C02" w:rsidRDefault="00280C02" w:rsidP="00280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endpoint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: Progression-Free Survival (PFS)</w:t>
      </w:r>
    </w:p>
    <w:p w14:paraId="46A27437" w14:textId="77777777" w:rsidR="00280C02" w:rsidRPr="00280C02" w:rsidRDefault="00280C02" w:rsidP="00280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Populations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513AB2" w14:textId="77777777" w:rsidR="00280C02" w:rsidRPr="00280C02" w:rsidRDefault="00280C02" w:rsidP="00280C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 xml:space="preserve"> = Full (ITT) population</w:t>
      </w:r>
    </w:p>
    <w:p w14:paraId="04459AE8" w14:textId="77777777" w:rsidR="00280C02" w:rsidRPr="00280C02" w:rsidRDefault="00280C02" w:rsidP="00280C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 xml:space="preserve"> = Biomarker-positive subgroup (e.g., PD-L1 high)</w:t>
      </w:r>
    </w:p>
    <w:p w14:paraId="7D545A65" w14:textId="77777777" w:rsidR="00280C02" w:rsidRPr="00280C02" w:rsidRDefault="00280C02" w:rsidP="00280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1CC3A9" w14:textId="77777777" w:rsidR="00280C02" w:rsidRPr="00280C02" w:rsidRDefault="00280C02" w:rsidP="00280C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Stage 1: Multi-dose exploration + adaptive decision</w:t>
      </w:r>
    </w:p>
    <w:p w14:paraId="728B04AE" w14:textId="77777777" w:rsidR="00280C02" w:rsidRPr="00280C02" w:rsidRDefault="00280C02" w:rsidP="00280C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Stage 2: Confirmatory testing with selected dose (and possibly enriched population)</w:t>
      </w:r>
    </w:p>
    <w:p w14:paraId="5A3F82B1" w14:textId="77777777" w:rsidR="00280C02" w:rsidRPr="00280C02" w:rsidRDefault="00280C02" w:rsidP="00280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Interim </w:t>
      </w:r>
      <w:proofErr w:type="gramStart"/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analyses</w:t>
      </w:r>
      <w:proofErr w:type="gramEnd"/>
      <w:r w:rsidRPr="00280C0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85A754" w14:textId="77777777" w:rsidR="00280C02" w:rsidRPr="00280C02" w:rsidRDefault="00280C02" w:rsidP="00280C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One adaptive interim (no hypothesis testing)</w:t>
      </w:r>
    </w:p>
    <w:p w14:paraId="0F7111FE" w14:textId="77777777" w:rsidR="00280C02" w:rsidRPr="00280C02" w:rsidRDefault="00280C02" w:rsidP="00280C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Two formal group sequential looks (including final)</w:t>
      </w:r>
    </w:p>
    <w:p w14:paraId="7FCBF3E5" w14:textId="77777777" w:rsidR="00280C02" w:rsidRPr="00280C02" w:rsidRDefault="00280C02" w:rsidP="00280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 method</w:t>
      </w: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: Inverse Normal Combination Test</w:t>
      </w:r>
    </w:p>
    <w:p w14:paraId="4E5881FD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4191E1B0">
          <v:rect id="_x0000_i1026" style="width:0;height:1.5pt" o:hralign="center" o:hrstd="t" o:hr="t" fillcolor="#a0a0a0" stroked="f"/>
        </w:pict>
      </w:r>
    </w:p>
    <w:p w14:paraId="347FB308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Table 1. </w:t>
      </w:r>
      <w:proofErr w:type="gramStart"/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Family-wise</w:t>
      </w:r>
      <w:proofErr w:type="gramEnd"/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α Allocation and Gatekeeping Strategy</w:t>
      </w:r>
    </w:p>
    <w:p w14:paraId="220417DE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SAP-style α allocation across hypothesis families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631"/>
        <w:gridCol w:w="1902"/>
        <w:gridCol w:w="897"/>
        <w:gridCol w:w="2877"/>
      </w:tblGrid>
      <w:tr w:rsidR="00280C02" w:rsidRPr="00280C02" w14:paraId="35F46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70F3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Hypothesis Family</w:t>
            </w:r>
          </w:p>
        </w:tc>
        <w:tc>
          <w:tcPr>
            <w:tcW w:w="0" w:type="auto"/>
            <w:vAlign w:val="center"/>
            <w:hideMark/>
          </w:tcPr>
          <w:p w14:paraId="353DD0D3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81117C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888BED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Two-sided α</w:t>
            </w:r>
          </w:p>
        </w:tc>
        <w:tc>
          <w:tcPr>
            <w:tcW w:w="0" w:type="auto"/>
            <w:vAlign w:val="center"/>
            <w:hideMark/>
          </w:tcPr>
          <w:p w14:paraId="526CE0AF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Gatekeeping / Notes</w:t>
            </w:r>
          </w:p>
        </w:tc>
      </w:tr>
      <w:tr w:rsidR="00280C02" w:rsidRPr="00280C02" w14:paraId="3AFB2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E3D7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H1 (Primary)</w:t>
            </w:r>
          </w:p>
        </w:tc>
        <w:tc>
          <w:tcPr>
            <w:tcW w:w="0" w:type="auto"/>
            <w:vAlign w:val="center"/>
            <w:hideMark/>
          </w:tcPr>
          <w:p w14:paraId="7DA0B66C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PFS in </w:t>
            </w: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 population</w:t>
            </w:r>
          </w:p>
        </w:tc>
        <w:tc>
          <w:tcPr>
            <w:tcW w:w="0" w:type="auto"/>
            <w:vAlign w:val="center"/>
            <w:hideMark/>
          </w:tcPr>
          <w:p w14:paraId="19834F3D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Confirmatory</w:t>
            </w:r>
          </w:p>
        </w:tc>
        <w:tc>
          <w:tcPr>
            <w:tcW w:w="0" w:type="auto"/>
            <w:vAlign w:val="center"/>
            <w:hideMark/>
          </w:tcPr>
          <w:p w14:paraId="5D839054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1B44D70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confirmatory path if enrichment is selected</w:t>
            </w:r>
          </w:p>
        </w:tc>
      </w:tr>
      <w:tr w:rsidR="00280C02" w:rsidRPr="00280C02" w14:paraId="65FDB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183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H2 (Supportive / Co-primary)</w:t>
            </w:r>
          </w:p>
        </w:tc>
        <w:tc>
          <w:tcPr>
            <w:tcW w:w="0" w:type="auto"/>
            <w:vAlign w:val="center"/>
            <w:hideMark/>
          </w:tcPr>
          <w:p w14:paraId="4B2002D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PFS in </w:t>
            </w: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 population</w:t>
            </w:r>
          </w:p>
        </w:tc>
        <w:tc>
          <w:tcPr>
            <w:tcW w:w="0" w:type="auto"/>
            <w:vAlign w:val="center"/>
            <w:hideMark/>
          </w:tcPr>
          <w:p w14:paraId="2618DECC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Confirmatory</w:t>
            </w:r>
          </w:p>
        </w:tc>
        <w:tc>
          <w:tcPr>
            <w:tcW w:w="0" w:type="auto"/>
            <w:vAlign w:val="center"/>
            <w:hideMark/>
          </w:tcPr>
          <w:p w14:paraId="23280DE8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52AA2FE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if no enrichment, or as supportive evidence</w:t>
            </w:r>
          </w:p>
        </w:tc>
      </w:tr>
      <w:tr w:rsidR="00280C02" w:rsidRPr="00280C02" w14:paraId="60487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8265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H3 (Key Secondary)</w:t>
            </w:r>
          </w:p>
        </w:tc>
        <w:tc>
          <w:tcPr>
            <w:tcW w:w="0" w:type="auto"/>
            <w:vAlign w:val="center"/>
            <w:hideMark/>
          </w:tcPr>
          <w:p w14:paraId="0D364D2A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Survival (OS)</w:t>
            </w:r>
          </w:p>
        </w:tc>
        <w:tc>
          <w:tcPr>
            <w:tcW w:w="0" w:type="auto"/>
            <w:vAlign w:val="center"/>
            <w:hideMark/>
          </w:tcPr>
          <w:p w14:paraId="773AEA05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Confirmatory (conditional)</w:t>
            </w:r>
          </w:p>
        </w:tc>
        <w:tc>
          <w:tcPr>
            <w:tcW w:w="0" w:type="auto"/>
            <w:vAlign w:val="center"/>
            <w:hideMark/>
          </w:tcPr>
          <w:p w14:paraId="2A30B0A3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0.00*</w:t>
            </w:r>
          </w:p>
        </w:tc>
        <w:tc>
          <w:tcPr>
            <w:tcW w:w="0" w:type="auto"/>
            <w:vAlign w:val="center"/>
            <w:hideMark/>
          </w:tcPr>
          <w:p w14:paraId="28F52992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*α may be recycled from H1/H2 upon success</w:t>
            </w:r>
          </w:p>
        </w:tc>
      </w:tr>
    </w:tbl>
    <w:p w14:paraId="57F1A88C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Notes (typical language):</w:t>
      </w:r>
    </w:p>
    <w:p w14:paraId="6CDBDA60" w14:textId="77777777" w:rsidR="00280C02" w:rsidRPr="00280C02" w:rsidRDefault="00280C02" w:rsidP="00280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Strong control of the family-wise type I error rate at 0.05 (two-sided) will be maintained.</w:t>
      </w:r>
    </w:p>
    <w:p w14:paraId="495574B5" w14:textId="77777777" w:rsidR="00280C02" w:rsidRPr="00280C02" w:rsidRDefault="00280C02" w:rsidP="00280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hierarchical gatekeeping strategy will be applied: confirmatory testing of OS is permitted only if the primary PFS hypothesis is rejected.</w:t>
      </w:r>
    </w:p>
    <w:p w14:paraId="6E6B29E1" w14:textId="77777777" w:rsidR="00280C02" w:rsidRPr="00280C02" w:rsidRDefault="00280C02" w:rsidP="00280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The allocation reflects the higher prior plausibility of treatment benefit in the biomarker-positive population.</w:t>
      </w:r>
    </w:p>
    <w:p w14:paraId="20328CAF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148BF6A1">
          <v:rect id="_x0000_i1027" style="width:0;height:1.5pt" o:hralign="center" o:hrstd="t" o:hr="t" fillcolor="#a0a0a0" stroked="f"/>
        </w:pict>
      </w:r>
    </w:p>
    <w:p w14:paraId="4E4BD770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2. Group Sequential α Spending for Primary Hypothesis H1 (PFS in S)</w:t>
      </w:r>
    </w:p>
    <w:p w14:paraId="4E94B090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Two-sided α = 0.04, O’Brien–Fleming–type boundary (Lan–</w:t>
      </w:r>
      <w:proofErr w:type="spellStart"/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DeMets</w:t>
      </w:r>
      <w:proofErr w:type="spellEnd"/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788"/>
        <w:gridCol w:w="1873"/>
        <w:gridCol w:w="1358"/>
        <w:gridCol w:w="1411"/>
        <w:gridCol w:w="2321"/>
      </w:tblGrid>
      <w:tr w:rsidR="00280C02" w:rsidRPr="00280C02" w14:paraId="5B888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66C17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Look</w:t>
            </w:r>
          </w:p>
        </w:tc>
        <w:tc>
          <w:tcPr>
            <w:tcW w:w="0" w:type="auto"/>
            <w:vAlign w:val="center"/>
            <w:hideMark/>
          </w:tcPr>
          <w:p w14:paraId="5DAD77C9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 Fraction</w:t>
            </w:r>
          </w:p>
        </w:tc>
        <w:tc>
          <w:tcPr>
            <w:tcW w:w="0" w:type="auto"/>
            <w:vAlign w:val="center"/>
            <w:hideMark/>
          </w:tcPr>
          <w:p w14:paraId="62D93428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 (Illustrative)</w:t>
            </w:r>
          </w:p>
        </w:tc>
        <w:tc>
          <w:tcPr>
            <w:tcW w:w="0" w:type="auto"/>
            <w:vAlign w:val="center"/>
            <w:hideMark/>
          </w:tcPr>
          <w:p w14:paraId="41B2D014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α</w:t>
            </w:r>
          </w:p>
        </w:tc>
        <w:tc>
          <w:tcPr>
            <w:tcW w:w="0" w:type="auto"/>
            <w:vAlign w:val="center"/>
            <w:hideMark/>
          </w:tcPr>
          <w:p w14:paraId="03E5582D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Incremental α</w:t>
            </w:r>
          </w:p>
        </w:tc>
        <w:tc>
          <w:tcPr>
            <w:tcW w:w="0" w:type="auto"/>
            <w:vAlign w:val="center"/>
            <w:hideMark/>
          </w:tcPr>
          <w:p w14:paraId="10745FB6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80C02" w:rsidRPr="00280C02" w14:paraId="7EE92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934E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CAD958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53010625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~50% of planned events</w:t>
            </w:r>
          </w:p>
        </w:tc>
        <w:tc>
          <w:tcPr>
            <w:tcW w:w="0" w:type="auto"/>
            <w:vAlign w:val="center"/>
            <w:hideMark/>
          </w:tcPr>
          <w:p w14:paraId="695598F9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13DA790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3F60C819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conservative early boundary</w:t>
            </w:r>
          </w:p>
        </w:tc>
      </w:tr>
      <w:tr w:rsidR="00280C02" w:rsidRPr="00280C02" w14:paraId="10352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7486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A0BA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B6CD5E2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~75% of events</w:t>
            </w:r>
          </w:p>
        </w:tc>
        <w:tc>
          <w:tcPr>
            <w:tcW w:w="0" w:type="auto"/>
            <w:vAlign w:val="center"/>
            <w:hideMark/>
          </w:tcPr>
          <w:p w14:paraId="49563A5C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0.0060</w:t>
            </w:r>
          </w:p>
        </w:tc>
        <w:tc>
          <w:tcPr>
            <w:tcW w:w="0" w:type="auto"/>
            <w:vAlign w:val="center"/>
            <w:hideMark/>
          </w:tcPr>
          <w:p w14:paraId="0C09AD9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0.0055</w:t>
            </w:r>
          </w:p>
        </w:tc>
        <w:tc>
          <w:tcPr>
            <w:tcW w:w="0" w:type="auto"/>
            <w:vAlign w:val="center"/>
            <w:hideMark/>
          </w:tcPr>
          <w:p w14:paraId="6A566A33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α release</w:t>
            </w:r>
          </w:p>
        </w:tc>
      </w:tr>
      <w:tr w:rsidR="00280C02" w:rsidRPr="00280C02" w14:paraId="31C0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293A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F96FC2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1414F94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analysis</w:t>
            </w:r>
          </w:p>
        </w:tc>
        <w:tc>
          <w:tcPr>
            <w:tcW w:w="0" w:type="auto"/>
            <w:vAlign w:val="center"/>
            <w:hideMark/>
          </w:tcPr>
          <w:p w14:paraId="41969C09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0.0400</w:t>
            </w:r>
          </w:p>
        </w:tc>
        <w:tc>
          <w:tcPr>
            <w:tcW w:w="0" w:type="auto"/>
            <w:vAlign w:val="center"/>
            <w:hideMark/>
          </w:tcPr>
          <w:p w14:paraId="49ECD2B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0.0340</w:t>
            </w:r>
          </w:p>
        </w:tc>
        <w:tc>
          <w:tcPr>
            <w:tcW w:w="0" w:type="auto"/>
            <w:vAlign w:val="center"/>
            <w:hideMark/>
          </w:tcPr>
          <w:p w14:paraId="1D5DC7A6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Majority of α preserved for final</w:t>
            </w:r>
          </w:p>
        </w:tc>
      </w:tr>
    </w:tbl>
    <w:p w14:paraId="52150EF6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0CEBD7B3" w14:textId="77777777" w:rsidR="00280C02" w:rsidRPr="00280C02" w:rsidRDefault="00280C02" w:rsidP="00280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Early stopping for efficacy requires very strong evidence.</w:t>
      </w:r>
    </w:p>
    <w:p w14:paraId="4EBEA9D2" w14:textId="77777777" w:rsidR="00280C02" w:rsidRPr="00280C02" w:rsidRDefault="00280C02" w:rsidP="00280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The final analysis boundary is close to the nominal 0.05 test, minimizing loss of power.</w:t>
      </w:r>
    </w:p>
    <w:p w14:paraId="0385B52F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 analogous table would be specified for H2 using α = 0.01, if applicable.)</w:t>
      </w:r>
    </w:p>
    <w:p w14:paraId="3B848206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58814239">
          <v:rect id="_x0000_i1028" style="width:0;height:1.5pt" o:hralign="center" o:hrstd="t" o:hr="t" fillcolor="#a0a0a0" stroked="f"/>
        </w:pict>
      </w:r>
    </w:p>
    <w:p w14:paraId="657CF1A0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3. Combination Test Parameters (Inverse Normal Method)</w:t>
      </w:r>
    </w:p>
    <w:p w14:paraId="054E71FA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Pre-specified combination of Stage 1 and Stage 2 evidence (H1)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4395"/>
        <w:gridCol w:w="1155"/>
        <w:gridCol w:w="2313"/>
      </w:tblGrid>
      <w:tr w:rsidR="00280C02" w:rsidRPr="00280C02" w14:paraId="27B07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7380C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ADEEFD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14:paraId="18B63674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14:paraId="2153D21D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80C02" w:rsidRPr="00280C02" w14:paraId="56037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936E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12B0B037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F64EBE0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DB9A532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computed using pre-defined methods</w:t>
            </w:r>
          </w:p>
        </w:tc>
      </w:tr>
      <w:tr w:rsidR="00280C02" w:rsidRPr="00280C02" w14:paraId="47CC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9712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2DB6282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0.40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455EEE5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0.60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65E97224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information fractions</w:t>
            </w:r>
          </w:p>
        </w:tc>
      </w:tr>
      <w:tr w:rsidR="00280C02" w:rsidRPr="00280C02" w14:paraId="2963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0CE8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statistic</w:t>
            </w:r>
          </w:p>
        </w:tc>
        <w:tc>
          <w:tcPr>
            <w:tcW w:w="0" w:type="auto"/>
            <w:vAlign w:val="center"/>
            <w:hideMark/>
          </w:tcPr>
          <w:p w14:paraId="355CE8E3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\multicolumn{2}{</w:t>
            </w:r>
            <w:proofErr w:type="gramStart"/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c}{</w:t>
            </w:r>
            <w:proofErr w:type="gramEnd"/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oMath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85F26AE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final test</w:t>
            </w:r>
          </w:p>
        </w:tc>
        <w:tc>
          <w:tcPr>
            <w:tcW w:w="0" w:type="auto"/>
            <w:vAlign w:val="center"/>
            <w:hideMark/>
          </w:tcPr>
          <w:p w14:paraId="055BAF5D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80C02" w:rsidRPr="00280C02" w14:paraId="42DEC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7C23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Significance level</w:t>
            </w:r>
          </w:p>
        </w:tc>
        <w:tc>
          <w:tcPr>
            <w:tcW w:w="0" w:type="auto"/>
            <w:vAlign w:val="center"/>
            <w:hideMark/>
          </w:tcPr>
          <w:p w14:paraId="60502B39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\multicolumn{2}{</w:t>
            </w:r>
            <w:proofErr w:type="gramStart"/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c}{</w:t>
            </w:r>
            <w:proofErr w:type="gramEnd"/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Two-sided α = 0.04 (subject to sequential boundary)}</w:t>
            </w:r>
          </w:p>
        </w:tc>
        <w:tc>
          <w:tcPr>
            <w:tcW w:w="0" w:type="auto"/>
            <w:vAlign w:val="center"/>
            <w:hideMark/>
          </w:tcPr>
          <w:p w14:paraId="7E9701B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2AE6A4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727E835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Clarification:</w:t>
      </w:r>
    </w:p>
    <w:p w14:paraId="510441EC" w14:textId="77777777" w:rsidR="00280C02" w:rsidRPr="00280C02" w:rsidRDefault="00280C02" w:rsidP="00280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Stage 1 data may inform adaptive decisions but contribute to inference only through the pre-specified combination test.</w:t>
      </w:r>
    </w:p>
    <w:p w14:paraId="2B61E090" w14:textId="77777777" w:rsidR="00280C02" w:rsidRPr="00280C02" w:rsidRDefault="00280C02" w:rsidP="00280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Type I error is preserved regardless of dose or population selection.</w:t>
      </w:r>
    </w:p>
    <w:p w14:paraId="64F0C861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71D66656">
          <v:rect id="_x0000_i1029" style="width:0;height:1.5pt" o:hralign="center" o:hrstd="t" o:hr="t" fillcolor="#a0a0a0" stroked="f"/>
        </w:pict>
      </w:r>
    </w:p>
    <w:p w14:paraId="044429CD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4. Adaptive Decision Rules (Dose and Population Selection)</w:t>
      </w:r>
    </w:p>
    <w:p w14:paraId="46045AEA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Illustrative SAP decision framework (executed by the independent DMC)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421"/>
        <w:gridCol w:w="3627"/>
        <w:gridCol w:w="1485"/>
      </w:tblGrid>
      <w:tr w:rsidR="00280C02" w:rsidRPr="00280C02" w14:paraId="301AF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9AC0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Step</w:t>
            </w:r>
          </w:p>
        </w:tc>
        <w:tc>
          <w:tcPr>
            <w:tcW w:w="0" w:type="auto"/>
            <w:vAlign w:val="center"/>
            <w:hideMark/>
          </w:tcPr>
          <w:p w14:paraId="6DDD861F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Used (Unblinded)</w:t>
            </w:r>
          </w:p>
        </w:tc>
        <w:tc>
          <w:tcPr>
            <w:tcW w:w="0" w:type="auto"/>
            <w:vAlign w:val="center"/>
            <w:hideMark/>
          </w:tcPr>
          <w:p w14:paraId="666F5350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Pre-specified Rule</w:t>
            </w:r>
          </w:p>
        </w:tc>
        <w:tc>
          <w:tcPr>
            <w:tcW w:w="0" w:type="auto"/>
            <w:vAlign w:val="center"/>
            <w:hideMark/>
          </w:tcPr>
          <w:p w14:paraId="57DC0E3C" w14:textId="77777777" w:rsidR="00280C02" w:rsidRPr="00280C02" w:rsidRDefault="00280C02" w:rsidP="00280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</w:tr>
      <w:tr w:rsidR="00280C02" w:rsidRPr="00280C02" w14:paraId="4B49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9E6A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 elimination (safety)</w:t>
            </w:r>
          </w:p>
        </w:tc>
        <w:tc>
          <w:tcPr>
            <w:tcW w:w="0" w:type="auto"/>
            <w:vAlign w:val="center"/>
            <w:hideMark/>
          </w:tcPr>
          <w:p w14:paraId="5436F550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SAE/AESI rates</w:t>
            </w:r>
          </w:p>
        </w:tc>
        <w:tc>
          <w:tcPr>
            <w:tcW w:w="0" w:type="auto"/>
            <w:vAlign w:val="center"/>
            <w:hideMark/>
          </w:tcPr>
          <w:p w14:paraId="5B6DEFBA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 doses exceeding safety threshold</w:t>
            </w:r>
          </w:p>
        </w:tc>
        <w:tc>
          <w:tcPr>
            <w:tcW w:w="0" w:type="auto"/>
            <w:vAlign w:val="center"/>
            <w:hideMark/>
          </w:tcPr>
          <w:p w14:paraId="2392A177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candidate set</w:t>
            </w:r>
          </w:p>
        </w:tc>
      </w:tr>
      <w:tr w:rsidR="00280C02" w:rsidRPr="00280C02" w14:paraId="6F8B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8B97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 selection (efficacy)</w:t>
            </w:r>
          </w:p>
        </w:tc>
        <w:tc>
          <w:tcPr>
            <w:tcW w:w="0" w:type="auto"/>
            <w:vAlign w:val="center"/>
            <w:hideMark/>
          </w:tcPr>
          <w:p w14:paraId="4B0B0AA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 effect estimates</w:t>
            </w:r>
          </w:p>
        </w:tc>
        <w:tc>
          <w:tcPr>
            <w:tcW w:w="0" w:type="auto"/>
            <w:vAlign w:val="center"/>
            <w:hideMark/>
          </w:tcPr>
          <w:p w14:paraId="01A3961D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 </w:t>
            </w:r>
            <w:proofErr w:type="gramStart"/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</w:t>
            </w:r>
            <w:proofErr w:type="gramEnd"/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meeting minimum clinically relevant effect with acceptable safety</w:t>
            </w:r>
          </w:p>
        </w:tc>
        <w:tc>
          <w:tcPr>
            <w:tcW w:w="0" w:type="auto"/>
            <w:vAlign w:val="center"/>
            <w:hideMark/>
          </w:tcPr>
          <w:p w14:paraId="7BC27EEB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dose D*</w:t>
            </w:r>
          </w:p>
        </w:tc>
      </w:tr>
      <w:tr w:rsidR="00280C02" w:rsidRPr="00280C02" w14:paraId="4192B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F3F3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strategy</w:t>
            </w:r>
          </w:p>
        </w:tc>
        <w:tc>
          <w:tcPr>
            <w:tcW w:w="0" w:type="auto"/>
            <w:vAlign w:val="center"/>
            <w:hideMark/>
          </w:tcPr>
          <w:p w14:paraId="3AE193C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Subgroup consistency / interaction metrics</w:t>
            </w:r>
          </w:p>
        </w:tc>
        <w:tc>
          <w:tcPr>
            <w:tcW w:w="0" w:type="auto"/>
            <w:vAlign w:val="center"/>
            <w:hideMark/>
          </w:tcPr>
          <w:p w14:paraId="7AF0409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predefined criteria met → enrich S</w:t>
            </w:r>
          </w:p>
        </w:tc>
        <w:tc>
          <w:tcPr>
            <w:tcW w:w="0" w:type="auto"/>
            <w:vAlign w:val="center"/>
            <w:hideMark/>
          </w:tcPr>
          <w:p w14:paraId="6DE9E8BE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Enrich S or remain F</w:t>
            </w:r>
          </w:p>
        </w:tc>
      </w:tr>
      <w:tr w:rsidR="00280C02" w:rsidRPr="00280C02" w14:paraId="1BD4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6AF1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Confirmatory path</w:t>
            </w:r>
          </w:p>
        </w:tc>
        <w:tc>
          <w:tcPr>
            <w:tcW w:w="0" w:type="auto"/>
            <w:vAlign w:val="center"/>
            <w:hideMark/>
          </w:tcPr>
          <w:p w14:paraId="6B5762AF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strategy</w:t>
            </w:r>
          </w:p>
        </w:tc>
        <w:tc>
          <w:tcPr>
            <w:tcW w:w="0" w:type="auto"/>
            <w:vAlign w:val="center"/>
            <w:hideMark/>
          </w:tcPr>
          <w:p w14:paraId="1271CA30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 hypothesis testing through H1 or H2</w:t>
            </w:r>
          </w:p>
        </w:tc>
        <w:tc>
          <w:tcPr>
            <w:tcW w:w="0" w:type="auto"/>
            <w:vAlign w:val="center"/>
            <w:hideMark/>
          </w:tcPr>
          <w:p w14:paraId="32665B98" w14:textId="77777777" w:rsidR="00280C02" w:rsidRPr="00280C02" w:rsidRDefault="00280C02" w:rsidP="00280C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C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testing pathway</w:t>
            </w:r>
          </w:p>
        </w:tc>
      </w:tr>
    </w:tbl>
    <w:p w14:paraId="48FD266C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4920E515">
          <v:rect id="_x0000_i1030" style="width:0;height:1.5pt" o:hralign="center" o:hrstd="t" o:hr="t" fillcolor="#a0a0a0" stroked="f"/>
        </w:pict>
      </w:r>
    </w:p>
    <w:p w14:paraId="32B7E623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SAP Text (Commonly Used)</w:t>
      </w:r>
    </w:p>
    <w:p w14:paraId="54048B94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t>“The family-wise two-sided type I error rate will be strongly controlled at 0.05. Interim efficacy analyses will follow a group sequential design using a Lan–</w:t>
      </w:r>
      <w:proofErr w:type="spellStart"/>
      <w:r w:rsidRPr="00280C02">
        <w:rPr>
          <w:rFonts w:ascii="Times New Roman" w:eastAsia="Times New Roman" w:hAnsi="Times New Roman" w:cs="Times New Roman"/>
          <w:kern w:val="0"/>
          <w14:ligatures w14:val="none"/>
        </w:rPr>
        <w:t>DeMets</w:t>
      </w:r>
      <w:proofErr w:type="spellEnd"/>
      <w:r w:rsidRPr="00280C02">
        <w:rPr>
          <w:rFonts w:ascii="Times New Roman" w:eastAsia="Times New Roman" w:hAnsi="Times New Roman" w:cs="Times New Roman"/>
          <w:kern w:val="0"/>
          <w14:ligatures w14:val="none"/>
        </w:rPr>
        <w:t xml:space="preserve"> O’Brien–Fleming–type alpha-spending function. Adaptive dose and population selection at the interim analysis will be conducted by the independent DMC. Confirmatory inference will be based on a pre-specified inverse normal combination test to preserve the overall type I error rate.”</w:t>
      </w:r>
    </w:p>
    <w:p w14:paraId="4D6B95D1" w14:textId="77777777" w:rsidR="00280C02" w:rsidRPr="00280C02" w:rsidRDefault="00280C02" w:rsidP="0028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kern w:val="0"/>
          <w14:ligatures w14:val="none"/>
        </w:rPr>
        <w:pict w14:anchorId="0E012994">
          <v:rect id="_x0000_i1031" style="width:0;height:1.5pt" o:hralign="center" o:hrstd="t" o:hr="t" fillcolor="#a0a0a0" stroked="f"/>
        </w:pict>
      </w:r>
    </w:p>
    <w:p w14:paraId="335F3FBA" w14:textId="77777777" w:rsidR="00280C02" w:rsidRPr="00280C02" w:rsidRDefault="00280C02" w:rsidP="00280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 (One Sentence)</w:t>
      </w:r>
    </w:p>
    <w:p w14:paraId="681CA360" w14:textId="77777777" w:rsidR="00280C02" w:rsidRPr="00280C02" w:rsidRDefault="00280C02" w:rsidP="00280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 adaptive seamless trials, α is allocated at the family level, spent only at formal group sequential looks, and preserved across adaptive decisions through pre-specified combination testing.</w:t>
      </w:r>
    </w:p>
    <w:p w14:paraId="13DCF7B0" w14:textId="6FB14622" w:rsidR="00236037" w:rsidRDefault="00236037">
      <w:r>
        <w:br w:type="page"/>
      </w:r>
    </w:p>
    <w:p w14:paraId="2743817F" w14:textId="7FB55032" w:rsidR="00236037" w:rsidRPr="00003B15" w:rsidRDefault="00236037" w:rsidP="00236037">
      <w:pPr>
        <w:rPr>
          <w:b/>
          <w:bCs/>
        </w:rPr>
      </w:pPr>
      <w:r w:rsidRPr="00003B15">
        <w:rPr>
          <w:rFonts w:hint="eastAsia"/>
          <w:b/>
          <w:bCs/>
        </w:rPr>
        <w:lastRenderedPageBreak/>
        <w:t>T</w:t>
      </w:r>
      <w:r w:rsidRPr="00003B15">
        <w:rPr>
          <w:b/>
          <w:bCs/>
        </w:rPr>
        <w:t>his is basically a healthy design:</w:t>
      </w:r>
    </w:p>
    <w:p w14:paraId="63CBAD84" w14:textId="77777777" w:rsidR="00236037" w:rsidRDefault="00236037" w:rsidP="00236037"/>
    <w:p w14:paraId="17CC8CA1" w14:textId="77777777" w:rsidR="00236037" w:rsidRDefault="00236037" w:rsidP="00236037">
      <w:r>
        <w:t>Stage 1 (Adaptation): ~35–40% of events</w:t>
      </w:r>
    </w:p>
    <w:p w14:paraId="1D3BB0A4" w14:textId="77777777" w:rsidR="00236037" w:rsidRDefault="00236037" w:rsidP="00236037"/>
    <w:p w14:paraId="15F4473E" w14:textId="77777777" w:rsidR="00236037" w:rsidRDefault="00236037" w:rsidP="00236037">
      <w:r>
        <w:t>Look #1 (Sequential): ~60% of events</w:t>
      </w:r>
    </w:p>
    <w:p w14:paraId="575DC9D3" w14:textId="77777777" w:rsidR="00236037" w:rsidRDefault="00236037" w:rsidP="00236037"/>
    <w:p w14:paraId="7EDC899F" w14:textId="18ADA8C2" w:rsidR="00236037" w:rsidRDefault="00236037" w:rsidP="00236037">
      <w:r>
        <w:t>Final: 100% of events</w:t>
      </w:r>
    </w:p>
    <w:p w14:paraId="592FE9F9" w14:textId="77777777" w:rsidR="00236037" w:rsidRDefault="00236037">
      <w:r>
        <w:br w:type="page"/>
      </w:r>
    </w:p>
    <w:p w14:paraId="1F519AD5" w14:textId="77777777" w:rsidR="00011EA9" w:rsidRDefault="00011EA9" w:rsidP="00236037"/>
    <w:p w14:paraId="75665618" w14:textId="4CB1B769" w:rsidR="00E710F1" w:rsidRDefault="00003B15" w:rsidP="00236037">
      <w:r w:rsidRPr="00003B15">
        <w:drawing>
          <wp:inline distT="0" distB="0" distL="0" distR="0" wp14:anchorId="1D3AC5DD" wp14:editId="423F54E5">
            <wp:extent cx="5943600" cy="1972945"/>
            <wp:effectExtent l="0" t="0" r="0" b="8255"/>
            <wp:docPr id="10457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5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0D16" w14:textId="77777777" w:rsidR="00E710F1" w:rsidRDefault="00E710F1">
      <w:r>
        <w:br w:type="page"/>
      </w:r>
    </w:p>
    <w:p w14:paraId="3DB7BBF0" w14:textId="0D639D36" w:rsidR="00003B15" w:rsidRPr="00E710F1" w:rsidRDefault="00E710F1" w:rsidP="00236037">
      <w:pPr>
        <w:rPr>
          <w:b/>
          <w:bCs/>
        </w:rPr>
      </w:pPr>
      <w:r w:rsidRPr="00E710F1">
        <w:rPr>
          <w:b/>
          <w:bCs/>
        </w:rPr>
        <w:lastRenderedPageBreak/>
        <w:t>O’Brien–Fleming–Type Alpha-Spending Function</w:t>
      </w:r>
    </w:p>
    <w:p w14:paraId="5DCEE4A2" w14:textId="77777777" w:rsidR="00E710F1" w:rsidRPr="00E710F1" w:rsidRDefault="00E710F1" w:rsidP="00E71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pict w14:anchorId="28C92A40">
          <v:rect id="_x0000_i1040" style="width:0;height:1.5pt" o:hralign="center" o:hrstd="t" o:hr="t" fillcolor="#a0a0a0" stroked="f"/>
        </w:pict>
      </w:r>
    </w:p>
    <w:p w14:paraId="6525F5F7" w14:textId="77777777" w:rsidR="00E710F1" w:rsidRPr="00E710F1" w:rsidRDefault="00E710F1" w:rsidP="00E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Mathematical Form (Lan–</w:t>
      </w:r>
      <w:proofErr w:type="spellStart"/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DeMets</w:t>
      </w:r>
      <w:proofErr w:type="spellEnd"/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Implementation)</w:t>
      </w:r>
    </w:p>
    <w:p w14:paraId="7C59F0C6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Under the </w:t>
      </w: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Lan–</w:t>
      </w:r>
      <w:proofErr w:type="spellStart"/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DeMets</w:t>
      </w:r>
      <w:proofErr w:type="spellEnd"/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framework</w:t>
      </w: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, an OBF-type alpha-spending function is commonly defined as:</w:t>
      </w:r>
    </w:p>
    <w:p w14:paraId="2176D949" w14:textId="77777777" w:rsidR="00E710F1" w:rsidRPr="00E710F1" w:rsidRDefault="00E710F1" w:rsidP="00E71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α(t)=2</m:t>
          </m:r>
          <m:d>
            <m:dPr>
              <m:begChr m:val="["/>
              <m:sepChr m:val="−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1-α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t</m:t>
                          </m:r>
                        </m:e>
                      </m:rad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,0&lt;t≤1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77A9B03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599A598" w14:textId="77777777" w:rsidR="00E710F1" w:rsidRPr="00E710F1" w:rsidRDefault="00E710F1" w:rsidP="00E7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α(t)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cumulative alpha spent</w:t>
      </w: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 at information fraction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</w:p>
    <w:p w14:paraId="52729A73" w14:textId="77777777" w:rsidR="00E710F1" w:rsidRPr="00E710F1" w:rsidRDefault="00E710F1" w:rsidP="00E7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fraction</w:t>
      </w: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 (0–1)</w:t>
      </w:r>
    </w:p>
    <w:p w14:paraId="119C0CA4" w14:textId="77777777" w:rsidR="00E710F1" w:rsidRPr="00E710F1" w:rsidRDefault="00E710F1" w:rsidP="00E7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(⋅)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>is the standard normal cumulative distribution function</w:t>
      </w:r>
    </w:p>
    <w:p w14:paraId="2A9DA168" w14:textId="77777777" w:rsidR="00E710F1" w:rsidRPr="00E710F1" w:rsidRDefault="00E710F1" w:rsidP="00E7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1-α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>is the standard normal quantile corresponding to the nominal two-sided alpha</w:t>
      </w:r>
    </w:p>
    <w:p w14:paraId="7C45E499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behavior:</w:t>
      </w:r>
    </w:p>
    <w:p w14:paraId="205FCF46" w14:textId="77777777" w:rsidR="00E710F1" w:rsidRPr="00E710F1" w:rsidRDefault="00E710F1" w:rsidP="00E710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is small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α(t)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>is extremely small</w:t>
      </w:r>
    </w:p>
    <w:p w14:paraId="169F767E" w14:textId="77777777" w:rsidR="00E710F1" w:rsidRPr="00E710F1" w:rsidRDefault="00E710F1" w:rsidP="00E710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t→1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α(t)→α</m:t>
        </m:r>
      </m:oMath>
    </w:p>
    <w:p w14:paraId="7E916CE0" w14:textId="77777777" w:rsidR="00E710F1" w:rsidRPr="00E710F1" w:rsidRDefault="00E710F1" w:rsidP="00E71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pict w14:anchorId="4866A6A7">
          <v:rect id="_x0000_i1041" style="width:0;height:1.5pt" o:hralign="center" o:hrstd="t" o:hr="t" fillcolor="#a0a0a0" stroked="f"/>
        </w:pict>
      </w:r>
    </w:p>
    <w:p w14:paraId="2C0ADAEB" w14:textId="77777777" w:rsidR="00E710F1" w:rsidRPr="00E710F1" w:rsidRDefault="00E710F1" w:rsidP="00E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Interpretation </w:t>
      </w:r>
      <w:proofErr w:type="gramStart"/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</w:t>
      </w:r>
      <w:proofErr w:type="gramEnd"/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Interim Analyses</w:t>
      </w:r>
    </w:p>
    <w:p w14:paraId="377D217E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At each formal group sequential look:</w:t>
      </w:r>
    </w:p>
    <w:p w14:paraId="567ABA7C" w14:textId="77777777" w:rsidR="00E710F1" w:rsidRPr="00E710F1" w:rsidRDefault="00E710F1" w:rsidP="00E71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</w:t>
      </w: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fraction</w:t>
      </w: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>is calculated</w:t>
      </w:r>
    </w:p>
    <w:p w14:paraId="3D510D79" w14:textId="649B7C15" w:rsidR="00E710F1" w:rsidRPr="00E710F1" w:rsidRDefault="00E710F1" w:rsidP="00E71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cumulative alpha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α(t)</m:t>
        </m:r>
      </m:oMath>
      <w:r w:rsidRPr="00E710F1">
        <w:rPr>
          <w:rFonts w:ascii="Times New Roman" w:eastAsia="Times New Roman" w:hAnsi="Times New Roman" w:cs="Times New Roman"/>
          <w:kern w:val="0"/>
          <w14:ligatures w14:val="none"/>
        </w:rPr>
        <w:t>is obtained from the spending function</w:t>
      </w:r>
    </w:p>
    <w:p w14:paraId="697EC068" w14:textId="77777777" w:rsidR="00E710F1" w:rsidRPr="00E710F1" w:rsidRDefault="00E710F1" w:rsidP="00E71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The corresponding </w:t>
      </w: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boundary (Z-value)</w:t>
      </w:r>
      <w:r w:rsidRPr="00E710F1">
        <w:rPr>
          <w:rFonts w:ascii="Times New Roman" w:eastAsia="Times New Roman" w:hAnsi="Times New Roman" w:cs="Times New Roman"/>
          <w:kern w:val="0"/>
          <w14:ligatures w14:val="none"/>
        </w:rPr>
        <w:t xml:space="preserve"> is determined</w:t>
      </w:r>
    </w:p>
    <w:p w14:paraId="3EA853BC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Early stopping for efficacy is allowed only if the observed test statistic exceeds this boundary.</w:t>
      </w:r>
    </w:p>
    <w:p w14:paraId="5AA13A19" w14:textId="77777777" w:rsidR="00E710F1" w:rsidRPr="00E710F1" w:rsidRDefault="00E710F1" w:rsidP="00E71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pict w14:anchorId="2514207F">
          <v:rect id="_x0000_i1042" style="width:0;height:1.5pt" o:hralign="center" o:hrstd="t" o:hr="t" fillcolor="#a0a0a0" stroked="f"/>
        </w:pict>
      </w:r>
    </w:p>
    <w:p w14:paraId="763EB303" w14:textId="77777777" w:rsidR="00E710F1" w:rsidRPr="00E710F1" w:rsidRDefault="00E710F1" w:rsidP="00E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Typical Boundary Behavior (Illustrative)</w:t>
      </w:r>
    </w:p>
    <w:p w14:paraId="5E666370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For a two-sided α = 0.05 with one interim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54"/>
        <w:gridCol w:w="1454"/>
        <w:gridCol w:w="2742"/>
      </w:tblGrid>
      <w:tr w:rsidR="00E710F1" w:rsidRPr="00E710F1" w14:paraId="79731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1A884" w14:textId="77777777" w:rsidR="00E710F1" w:rsidRPr="00E710F1" w:rsidRDefault="00E710F1" w:rsidP="00E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Analysis</w:t>
            </w:r>
          </w:p>
        </w:tc>
        <w:tc>
          <w:tcPr>
            <w:tcW w:w="0" w:type="auto"/>
            <w:vAlign w:val="center"/>
            <w:hideMark/>
          </w:tcPr>
          <w:p w14:paraId="6FAA87D9" w14:textId="77777777" w:rsidR="00E710F1" w:rsidRPr="00E710F1" w:rsidRDefault="00E710F1" w:rsidP="00E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 Fraction</w:t>
            </w:r>
          </w:p>
        </w:tc>
        <w:tc>
          <w:tcPr>
            <w:tcW w:w="0" w:type="auto"/>
            <w:vAlign w:val="center"/>
            <w:hideMark/>
          </w:tcPr>
          <w:p w14:paraId="7C2A7D00" w14:textId="77777777" w:rsidR="00E710F1" w:rsidRPr="00E710F1" w:rsidRDefault="00E710F1" w:rsidP="00E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α</w:t>
            </w:r>
          </w:p>
        </w:tc>
        <w:tc>
          <w:tcPr>
            <w:tcW w:w="0" w:type="auto"/>
            <w:vAlign w:val="center"/>
            <w:hideMark/>
          </w:tcPr>
          <w:p w14:paraId="050A5BDE" w14:textId="77777777" w:rsidR="00E710F1" w:rsidRPr="00E710F1" w:rsidRDefault="00E710F1" w:rsidP="00E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Approximate Z Boundary</w:t>
            </w:r>
          </w:p>
        </w:tc>
      </w:tr>
      <w:tr w:rsidR="00E710F1" w:rsidRPr="00E710F1" w14:paraId="6B4E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CA09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Interim</w:t>
            </w:r>
          </w:p>
        </w:tc>
        <w:tc>
          <w:tcPr>
            <w:tcW w:w="0" w:type="auto"/>
            <w:vAlign w:val="center"/>
            <w:hideMark/>
          </w:tcPr>
          <w:p w14:paraId="5AA48F6A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761EAEAB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~0.005</w:t>
            </w:r>
          </w:p>
        </w:tc>
        <w:tc>
          <w:tcPr>
            <w:tcW w:w="0" w:type="auto"/>
            <w:vAlign w:val="center"/>
            <w:hideMark/>
          </w:tcPr>
          <w:p w14:paraId="121FDC2C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±2.8</w:t>
            </w:r>
          </w:p>
        </w:tc>
      </w:tr>
      <w:tr w:rsidR="00E710F1" w:rsidRPr="00E710F1" w14:paraId="14EA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3E63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A2D1CEE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FBB9C71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5B6D8DEA" w14:textId="77777777" w:rsidR="00E710F1" w:rsidRPr="00E710F1" w:rsidRDefault="00E710F1" w:rsidP="00E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±1.96</w:t>
            </w:r>
          </w:p>
        </w:tc>
      </w:tr>
    </w:tbl>
    <w:p w14:paraId="780EAF3D" w14:textId="77777777" w:rsidR="00E710F1" w:rsidRPr="00E710F1" w:rsidRDefault="00E710F1" w:rsidP="00E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6665B1AA" w14:textId="77777777" w:rsidR="00E710F1" w:rsidRPr="00E710F1" w:rsidRDefault="00E710F1" w:rsidP="00E710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At the interim look, the required Z-value is very high, making early stopping rare</w:t>
      </w:r>
    </w:p>
    <w:p w14:paraId="665DC65C" w14:textId="77777777" w:rsidR="00E710F1" w:rsidRPr="00E710F1" w:rsidRDefault="00E710F1" w:rsidP="00E710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t>At the final analysis, the boundary is essentially identical to a standard 0.05 test</w:t>
      </w:r>
    </w:p>
    <w:p w14:paraId="368F9E13" w14:textId="77777777" w:rsidR="00E710F1" w:rsidRPr="00E710F1" w:rsidRDefault="00E710F1" w:rsidP="00E71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F1">
        <w:rPr>
          <w:rFonts w:ascii="Times New Roman" w:eastAsia="Times New Roman" w:hAnsi="Times New Roman" w:cs="Times New Roman"/>
          <w:kern w:val="0"/>
          <w14:ligatures w14:val="none"/>
        </w:rPr>
        <w:pict w14:anchorId="102F7B16">
          <v:rect id="_x0000_i1043" style="width:0;height:1.5pt" o:hralign="center" o:hrstd="t" o:hr="t" fillcolor="#a0a0a0" stroked="f"/>
        </w:pict>
      </w:r>
    </w:p>
    <w:p w14:paraId="025CB7F3" w14:textId="77777777" w:rsidR="00E710F1" w:rsidRDefault="00E710F1" w:rsidP="00236037"/>
    <w:sectPr w:rsidR="00E7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0BB2"/>
    <w:multiLevelType w:val="multilevel"/>
    <w:tmpl w:val="B6A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1624"/>
    <w:multiLevelType w:val="multilevel"/>
    <w:tmpl w:val="4C1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F24B7"/>
    <w:multiLevelType w:val="multilevel"/>
    <w:tmpl w:val="85E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0E46"/>
    <w:multiLevelType w:val="multilevel"/>
    <w:tmpl w:val="A55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13FB8"/>
    <w:multiLevelType w:val="multilevel"/>
    <w:tmpl w:val="63D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B38B2"/>
    <w:multiLevelType w:val="multilevel"/>
    <w:tmpl w:val="88C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F46D0"/>
    <w:multiLevelType w:val="multilevel"/>
    <w:tmpl w:val="C24A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43AA7"/>
    <w:multiLevelType w:val="multilevel"/>
    <w:tmpl w:val="924C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2498E"/>
    <w:multiLevelType w:val="multilevel"/>
    <w:tmpl w:val="34A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239D1"/>
    <w:multiLevelType w:val="multilevel"/>
    <w:tmpl w:val="79F4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467BB"/>
    <w:multiLevelType w:val="multilevel"/>
    <w:tmpl w:val="641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E6101"/>
    <w:multiLevelType w:val="multilevel"/>
    <w:tmpl w:val="64A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32F33"/>
    <w:multiLevelType w:val="multilevel"/>
    <w:tmpl w:val="F74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50911">
    <w:abstractNumId w:val="4"/>
  </w:num>
  <w:num w:numId="2" w16cid:durableId="450784914">
    <w:abstractNumId w:val="10"/>
  </w:num>
  <w:num w:numId="3" w16cid:durableId="283850007">
    <w:abstractNumId w:val="8"/>
  </w:num>
  <w:num w:numId="4" w16cid:durableId="1429811185">
    <w:abstractNumId w:val="0"/>
  </w:num>
  <w:num w:numId="5" w16cid:durableId="98646044">
    <w:abstractNumId w:val="2"/>
  </w:num>
  <w:num w:numId="6" w16cid:durableId="43720582">
    <w:abstractNumId w:val="7"/>
  </w:num>
  <w:num w:numId="7" w16cid:durableId="1157068883">
    <w:abstractNumId w:val="1"/>
  </w:num>
  <w:num w:numId="8" w16cid:durableId="199709428">
    <w:abstractNumId w:val="5"/>
  </w:num>
  <w:num w:numId="9" w16cid:durableId="991562893">
    <w:abstractNumId w:val="11"/>
  </w:num>
  <w:num w:numId="10" w16cid:durableId="405299069">
    <w:abstractNumId w:val="6"/>
  </w:num>
  <w:num w:numId="11" w16cid:durableId="685063478">
    <w:abstractNumId w:val="3"/>
  </w:num>
  <w:num w:numId="12" w16cid:durableId="104229010">
    <w:abstractNumId w:val="12"/>
  </w:num>
  <w:num w:numId="13" w16cid:durableId="1976645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02"/>
    <w:rsid w:val="00003B15"/>
    <w:rsid w:val="00011EA9"/>
    <w:rsid w:val="00100858"/>
    <w:rsid w:val="001D6178"/>
    <w:rsid w:val="00236037"/>
    <w:rsid w:val="00280C02"/>
    <w:rsid w:val="00285FB8"/>
    <w:rsid w:val="007E1898"/>
    <w:rsid w:val="008A385A"/>
    <w:rsid w:val="00E7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9D7B"/>
  <w15:chartTrackingRefBased/>
  <w15:docId w15:val="{60854611-9DA4-4848-9600-10294E7B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875</Words>
  <Characters>4990</Characters>
  <Application>Microsoft Office Word</Application>
  <DocSecurity>0</DocSecurity>
  <Lines>41</Lines>
  <Paragraphs>11</Paragraphs>
  <ScaleCrop>false</ScaleCrop>
  <Company>NICHD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8</cp:revision>
  <dcterms:created xsi:type="dcterms:W3CDTF">2026-01-15T21:11:00Z</dcterms:created>
  <dcterms:modified xsi:type="dcterms:W3CDTF">2026-01-15T21:29:00Z</dcterms:modified>
</cp:coreProperties>
</file>