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C754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20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Reviewer’s Guide</w:t>
      </w:r>
    </w:p>
    <w:p w14:paraId="732EA3F9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(Pre-filled Example – Oncology Phase II)</w:t>
      </w:r>
    </w:p>
    <w:p w14:paraId="5F558C14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ID: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ONC-201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Indication: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Metastatic Non-Small Cell Lung Cancer (NSCLC)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Type: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NDA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Standard: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v2.1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15-Mar-2026</w:t>
      </w:r>
    </w:p>
    <w:p w14:paraId="6FEBC895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405DDEF9">
          <v:rect id="_x0000_i1025" style="width:0;height:1.5pt" o:hralign="center" o:hrstd="t" o:hr="t" fillcolor="#a0a0a0" stroked="f"/>
        </w:pict>
      </w:r>
    </w:p>
    <w:p w14:paraId="437AFCDB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Purpose of This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Reviewer’s Guide</w:t>
      </w:r>
    </w:p>
    <w:p w14:paraId="604339CB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spellStart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Reviewer’s Guide provides an overview of the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datasets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, their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derivations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, and describes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traceability from SDTM to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intended to help reviewers understand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the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datasets were constructed and how they support statistical analyses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, without restating the SAP.</w:t>
      </w:r>
    </w:p>
    <w:p w14:paraId="0E0D1197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6C3FCE58">
          <v:rect id="_x0000_i1026" style="width:0;height:1.5pt" o:hralign="center" o:hrstd="t" o:hr="t" fillcolor="#a0a0a0" stroked="f"/>
        </w:pict>
      </w:r>
    </w:p>
    <w:p w14:paraId="26689676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Overview of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999"/>
        <w:gridCol w:w="3854"/>
      </w:tblGrid>
      <w:tr w:rsidR="00A200A4" w:rsidRPr="00A200A4" w14:paraId="21FC5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10715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46597EC7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618370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Granularity</w:t>
            </w:r>
          </w:p>
        </w:tc>
      </w:tr>
      <w:tr w:rsidR="00A200A4" w:rsidRPr="00A200A4" w14:paraId="5E124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D06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72444F9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Subject-level analysis dataset</w:t>
            </w:r>
          </w:p>
        </w:tc>
        <w:tc>
          <w:tcPr>
            <w:tcW w:w="0" w:type="auto"/>
            <w:vAlign w:val="center"/>
            <w:hideMark/>
          </w:tcPr>
          <w:p w14:paraId="2576EA9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record per subject</w:t>
            </w:r>
          </w:p>
        </w:tc>
      </w:tr>
      <w:tr w:rsidR="00A200A4" w:rsidRPr="00A200A4" w14:paraId="1CD2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089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54B2545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 analysis dataset</w:t>
            </w:r>
          </w:p>
        </w:tc>
        <w:tc>
          <w:tcPr>
            <w:tcW w:w="0" w:type="auto"/>
            <w:vAlign w:val="center"/>
            <w:hideMark/>
          </w:tcPr>
          <w:p w14:paraId="585A574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record per AE per subject</w:t>
            </w:r>
          </w:p>
        </w:tc>
      </w:tr>
      <w:tr w:rsidR="00A200A4" w:rsidRPr="00A200A4" w14:paraId="3838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96F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0354A50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analysis dataset</w:t>
            </w:r>
          </w:p>
        </w:tc>
        <w:tc>
          <w:tcPr>
            <w:tcW w:w="0" w:type="auto"/>
            <w:vAlign w:val="center"/>
            <w:hideMark/>
          </w:tcPr>
          <w:p w14:paraId="614BE91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record per test per visit per subject</w:t>
            </w:r>
          </w:p>
        </w:tc>
      </w:tr>
      <w:tr w:rsidR="00A200A4" w:rsidRPr="00A200A4" w14:paraId="1C27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B80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87F68A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Time-to-event analysis dataset</w:t>
            </w:r>
          </w:p>
        </w:tc>
        <w:tc>
          <w:tcPr>
            <w:tcW w:w="0" w:type="auto"/>
            <w:vAlign w:val="center"/>
            <w:hideMark/>
          </w:tcPr>
          <w:p w14:paraId="3ADF1B4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record per subject per parameter</w:t>
            </w:r>
          </w:p>
        </w:tc>
      </w:tr>
    </w:tbl>
    <w:p w14:paraId="216E8571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66DC08A4">
          <v:rect id="_x0000_i1027" style="width:0;height:1.5pt" o:hralign="center" o:hrstd="t" o:hr="t" fillcolor="#a0a0a0" stroked="f"/>
        </w:pict>
      </w:r>
    </w:p>
    <w:p w14:paraId="28020CC7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Subject-Level Analysis Dataset (ADSL)</w:t>
      </w:r>
    </w:p>
    <w:p w14:paraId="71B10821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Dataset Description</w:t>
      </w:r>
    </w:p>
    <w:p w14:paraId="2F91D206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ADSL contains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record per subject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includes treatment assignments, population flags, and baseline demographic variables.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other </w:t>
      </w:r>
      <w:proofErr w:type="spellStart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datasets are linked to ADSL via </w:t>
      </w: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USUBJID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3309B9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Key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928"/>
      </w:tblGrid>
      <w:tr w:rsidR="00A200A4" w:rsidRPr="00A200A4" w14:paraId="4FEE1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8B402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EE743D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200A4" w:rsidRPr="00A200A4" w14:paraId="3539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224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62C4DC0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subject identifier</w:t>
            </w:r>
          </w:p>
        </w:tc>
      </w:tr>
      <w:tr w:rsidR="00A200A4" w:rsidRPr="00A200A4" w14:paraId="031D9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96D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TRT01A</w:t>
            </w:r>
          </w:p>
        </w:tc>
        <w:tc>
          <w:tcPr>
            <w:tcW w:w="0" w:type="auto"/>
            <w:vAlign w:val="center"/>
            <w:hideMark/>
          </w:tcPr>
          <w:p w14:paraId="386E8629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treatment received</w:t>
            </w:r>
          </w:p>
        </w:tc>
      </w:tr>
      <w:tr w:rsidR="00A200A4" w:rsidRPr="00A200A4" w14:paraId="027D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709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5AC9959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Intent-to-treat population flag</w:t>
            </w:r>
          </w:p>
        </w:tc>
      </w:tr>
      <w:tr w:rsidR="00A200A4" w:rsidRPr="00A200A4" w14:paraId="7512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36E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SAFFL</w:t>
            </w:r>
          </w:p>
        </w:tc>
        <w:tc>
          <w:tcPr>
            <w:tcW w:w="0" w:type="auto"/>
            <w:vAlign w:val="center"/>
            <w:hideMark/>
          </w:tcPr>
          <w:p w14:paraId="6F002ED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population flag</w:t>
            </w:r>
          </w:p>
        </w:tc>
      </w:tr>
      <w:tr w:rsidR="00A200A4" w:rsidRPr="00A200A4" w14:paraId="3268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E5D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PPFL</w:t>
            </w:r>
          </w:p>
        </w:tc>
        <w:tc>
          <w:tcPr>
            <w:tcW w:w="0" w:type="auto"/>
            <w:vAlign w:val="center"/>
            <w:hideMark/>
          </w:tcPr>
          <w:p w14:paraId="286128D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Per-protocol population flag</w:t>
            </w:r>
          </w:p>
        </w:tc>
      </w:tr>
      <w:tr w:rsidR="00A200A4" w:rsidRPr="00A200A4" w14:paraId="48AF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CF6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SEX</w:t>
            </w:r>
          </w:p>
        </w:tc>
        <w:tc>
          <w:tcPr>
            <w:tcW w:w="0" w:type="auto"/>
            <w:vAlign w:val="center"/>
            <w:hideMark/>
          </w:tcPr>
          <w:p w14:paraId="6062C86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Demographics</w:t>
            </w:r>
          </w:p>
        </w:tc>
      </w:tr>
      <w:tr w:rsidR="00A200A4" w:rsidRPr="00A200A4" w14:paraId="295A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7C0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RFSTDTC</w:t>
            </w:r>
          </w:p>
        </w:tc>
        <w:tc>
          <w:tcPr>
            <w:tcW w:w="0" w:type="auto"/>
            <w:vAlign w:val="center"/>
            <w:hideMark/>
          </w:tcPr>
          <w:p w14:paraId="00070BC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start date</w:t>
            </w:r>
          </w:p>
        </w:tc>
      </w:tr>
    </w:tbl>
    <w:p w14:paraId="18850A5D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22447364">
          <v:rect id="_x0000_i1028" style="width:0;height:1.5pt" o:hralign="center" o:hrstd="t" o:hr="t" fillcolor="#a0a0a0" stroked="f"/>
        </w:pict>
      </w:r>
    </w:p>
    <w:p w14:paraId="42EB4509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Adverse Events Analysis Dataset (ADAE)</w:t>
      </w:r>
    </w:p>
    <w:p w14:paraId="56C44D66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Dataset Description</w:t>
      </w:r>
    </w:p>
    <w:p w14:paraId="43DA27CF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ADAE is derived from the SDTM AE domain and includes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record per adverse event per subject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  <w:t>It supports all safety analyses.</w:t>
      </w:r>
    </w:p>
    <w:p w14:paraId="2335FD4D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Key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847"/>
      </w:tblGrid>
      <w:tr w:rsidR="00A200A4" w:rsidRPr="00A200A4" w14:paraId="4BA3F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3494A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55F7F50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200A4" w:rsidRPr="00A200A4" w14:paraId="77AC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8221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AETERM</w:t>
            </w:r>
          </w:p>
        </w:tc>
        <w:tc>
          <w:tcPr>
            <w:tcW w:w="0" w:type="auto"/>
            <w:vAlign w:val="center"/>
            <w:hideMark/>
          </w:tcPr>
          <w:p w14:paraId="6EA62A2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 term</w:t>
            </w:r>
          </w:p>
        </w:tc>
      </w:tr>
      <w:tr w:rsidR="00A200A4" w:rsidRPr="00A200A4" w14:paraId="43B8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416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AESEV</w:t>
            </w:r>
          </w:p>
        </w:tc>
        <w:tc>
          <w:tcPr>
            <w:tcW w:w="0" w:type="auto"/>
            <w:vAlign w:val="center"/>
            <w:hideMark/>
          </w:tcPr>
          <w:p w14:paraId="314BCB0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</w:tr>
      <w:tr w:rsidR="00A200A4" w:rsidRPr="00A200A4" w14:paraId="0B14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85F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AESER</w:t>
            </w:r>
          </w:p>
        </w:tc>
        <w:tc>
          <w:tcPr>
            <w:tcW w:w="0" w:type="auto"/>
            <w:vAlign w:val="center"/>
            <w:hideMark/>
          </w:tcPr>
          <w:p w14:paraId="0E270C6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Serious AE flag</w:t>
            </w:r>
          </w:p>
        </w:tc>
      </w:tr>
      <w:tr w:rsidR="00A200A4" w:rsidRPr="00A200A4" w14:paraId="7FD8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ADC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ASTDT</w:t>
            </w:r>
          </w:p>
        </w:tc>
        <w:tc>
          <w:tcPr>
            <w:tcW w:w="0" w:type="auto"/>
            <w:vAlign w:val="center"/>
            <w:hideMark/>
          </w:tcPr>
          <w:p w14:paraId="514FDCD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 start date (numeric)</w:t>
            </w:r>
          </w:p>
        </w:tc>
      </w:tr>
      <w:tr w:rsidR="00A200A4" w:rsidRPr="00A200A4" w14:paraId="26C3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282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AENDT</w:t>
            </w:r>
          </w:p>
        </w:tc>
        <w:tc>
          <w:tcPr>
            <w:tcW w:w="0" w:type="auto"/>
            <w:vAlign w:val="center"/>
            <w:hideMark/>
          </w:tcPr>
          <w:p w14:paraId="3840BDE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 end date (numeric)</w:t>
            </w:r>
          </w:p>
        </w:tc>
      </w:tr>
      <w:tr w:rsidR="00A200A4" w:rsidRPr="00A200A4" w14:paraId="5CBA4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978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TRTEMFL</w:t>
            </w:r>
          </w:p>
        </w:tc>
        <w:tc>
          <w:tcPr>
            <w:tcW w:w="0" w:type="auto"/>
            <w:vAlign w:val="center"/>
            <w:hideMark/>
          </w:tcPr>
          <w:p w14:paraId="76C41DD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Treatment-emergent AE flag</w:t>
            </w:r>
          </w:p>
        </w:tc>
      </w:tr>
    </w:tbl>
    <w:p w14:paraId="723353DD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Key Derivations</w:t>
      </w:r>
    </w:p>
    <w:p w14:paraId="36253288" w14:textId="77777777" w:rsidR="00A200A4" w:rsidRPr="00A200A4" w:rsidRDefault="00A200A4" w:rsidP="00A20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ASTDT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AENDT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are derived from </w:t>
      </w: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AESTDTC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AEENDTC</w:t>
      </w:r>
    </w:p>
    <w:p w14:paraId="4C105EF3" w14:textId="77777777" w:rsidR="00A200A4" w:rsidRPr="00A200A4" w:rsidRDefault="00A200A4" w:rsidP="00A20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TRTEMFL = 'Y'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if AE start date is on or after first dose and on or before last dose + follow-up window</w:t>
      </w:r>
    </w:p>
    <w:p w14:paraId="2B177E6C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370B87D0">
          <v:rect id="_x0000_i1029" style="width:0;height:1.5pt" o:hralign="center" o:hrstd="t" o:hr="t" fillcolor="#a0a0a0" stroked="f"/>
        </w:pict>
      </w:r>
    </w:p>
    <w:p w14:paraId="3F59CF86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Laboratory Analysis Dataset (ADLB)</w:t>
      </w:r>
    </w:p>
    <w:p w14:paraId="737B1CCC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Dataset Description</w:t>
      </w:r>
    </w:p>
    <w:p w14:paraId="550CA523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ADLB is derived from the SDTM LB domain and includes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record per laboratory test per visit per subject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br/>
        <w:t>Both numeric and character results are retained.</w:t>
      </w:r>
    </w:p>
    <w:p w14:paraId="61280043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Key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421"/>
      </w:tblGrid>
      <w:tr w:rsidR="00A200A4" w:rsidRPr="00A200A4" w14:paraId="727F8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EEE4B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2898ED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200A4" w:rsidRPr="00A200A4" w14:paraId="313B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EBE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316CAD25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test code</w:t>
            </w:r>
          </w:p>
        </w:tc>
      </w:tr>
      <w:tr w:rsidR="00A200A4" w:rsidRPr="00A200A4" w14:paraId="3E1B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6F7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0AF39801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test name</w:t>
            </w:r>
          </w:p>
        </w:tc>
      </w:tr>
      <w:tr w:rsidR="00A200A4" w:rsidRPr="00A200A4" w14:paraId="2101A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263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ADF3BB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analysis value</w:t>
            </w:r>
          </w:p>
        </w:tc>
      </w:tr>
      <w:tr w:rsidR="00A200A4" w:rsidRPr="00A200A4" w14:paraId="5E09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0F75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27C8D11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analysis value</w:t>
            </w:r>
          </w:p>
        </w:tc>
      </w:tr>
      <w:tr w:rsidR="00A200A4" w:rsidRPr="00A200A4" w14:paraId="0650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733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3F504AC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value</w:t>
            </w:r>
          </w:p>
        </w:tc>
      </w:tr>
      <w:tr w:rsidR="00A200A4" w:rsidRPr="00A200A4" w14:paraId="24C2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31C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CHG</w:t>
            </w:r>
          </w:p>
        </w:tc>
        <w:tc>
          <w:tcPr>
            <w:tcW w:w="0" w:type="auto"/>
            <w:vAlign w:val="center"/>
            <w:hideMark/>
          </w:tcPr>
          <w:p w14:paraId="4AE09509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from baseline</w:t>
            </w:r>
          </w:p>
        </w:tc>
      </w:tr>
      <w:tr w:rsidR="00A200A4" w:rsidRPr="00A200A4" w14:paraId="2A56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064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AVISIT</w:t>
            </w:r>
          </w:p>
        </w:tc>
        <w:tc>
          <w:tcPr>
            <w:tcW w:w="0" w:type="auto"/>
            <w:vAlign w:val="center"/>
            <w:hideMark/>
          </w:tcPr>
          <w:p w14:paraId="22B2398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visit</w:t>
            </w:r>
          </w:p>
        </w:tc>
      </w:tr>
    </w:tbl>
    <w:p w14:paraId="53DC55FC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Baseline Definition</w:t>
      </w:r>
    </w:p>
    <w:p w14:paraId="46DB85CE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Baseline is defined as the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non-missing laboratory value prior to first dose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900D5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50661126">
          <v:rect id="_x0000_i1030" style="width:0;height:1.5pt" o:hralign="center" o:hrstd="t" o:hr="t" fillcolor="#a0a0a0" stroked="f"/>
        </w:pict>
      </w:r>
    </w:p>
    <w:p w14:paraId="6491D2C7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Time-to-Event Analysis Dataset (ADTTE)</w:t>
      </w:r>
    </w:p>
    <w:p w14:paraId="49500F9B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Dataset Description</w:t>
      </w:r>
    </w:p>
    <w:p w14:paraId="1F739C0E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ADTTE supports time-to-event analyses such as </w:t>
      </w: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Progression-Free Survival (PFS)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68A65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Key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648"/>
      </w:tblGrid>
      <w:tr w:rsidR="00A200A4" w:rsidRPr="00A200A4" w14:paraId="0A10A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81F35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981F7E9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200A4" w:rsidRPr="00A200A4" w14:paraId="68C1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E63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3E4B45C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code (e.g., PFS)</w:t>
            </w:r>
          </w:p>
        </w:tc>
      </w:tr>
      <w:tr w:rsidR="00A200A4" w:rsidRPr="00A200A4" w14:paraId="1EA1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E55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64B5699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time (days)</w:t>
            </w:r>
          </w:p>
        </w:tc>
      </w:tr>
      <w:tr w:rsidR="00A200A4" w:rsidRPr="00A200A4" w14:paraId="09F6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ADA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60006385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Censoring indicator</w:t>
            </w:r>
          </w:p>
        </w:tc>
      </w:tr>
      <w:tr w:rsidR="00A200A4" w:rsidRPr="00A200A4" w14:paraId="4492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B7D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EVNTDESC</w:t>
            </w:r>
          </w:p>
        </w:tc>
        <w:tc>
          <w:tcPr>
            <w:tcW w:w="0" w:type="auto"/>
            <w:vAlign w:val="center"/>
            <w:hideMark/>
          </w:tcPr>
          <w:p w14:paraId="38A2473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description</w:t>
            </w:r>
          </w:p>
        </w:tc>
      </w:tr>
    </w:tbl>
    <w:p w14:paraId="54112D12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76ACCFCB">
          <v:rect id="_x0000_i1031" style="width:0;height:1.5pt" o:hralign="center" o:hrstd="t" o:hr="t" fillcolor="#a0a0a0" stroked="f"/>
        </w:pict>
      </w:r>
    </w:p>
    <w:p w14:paraId="31FAE468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Analysis Populations</w:t>
      </w:r>
    </w:p>
    <w:p w14:paraId="01192D98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Population flags are defined in ADSL and propagated to all other </w:t>
      </w:r>
      <w:proofErr w:type="spellStart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76"/>
        <w:gridCol w:w="4601"/>
      </w:tblGrid>
      <w:tr w:rsidR="00A200A4" w:rsidRPr="00A200A4" w14:paraId="4089F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E275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35A6BDC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EE8B58E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A200A4" w:rsidRPr="00A200A4" w14:paraId="044A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C62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</w:t>
            </w:r>
          </w:p>
        </w:tc>
        <w:tc>
          <w:tcPr>
            <w:tcW w:w="0" w:type="auto"/>
            <w:vAlign w:val="center"/>
            <w:hideMark/>
          </w:tcPr>
          <w:p w14:paraId="42A3D421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ITTFL='Y'</w:t>
            </w:r>
          </w:p>
        </w:tc>
        <w:tc>
          <w:tcPr>
            <w:tcW w:w="0" w:type="auto"/>
            <w:vAlign w:val="center"/>
            <w:hideMark/>
          </w:tcPr>
          <w:p w14:paraId="220DBE4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randomized subjects</w:t>
            </w:r>
          </w:p>
        </w:tc>
      </w:tr>
      <w:tr w:rsidR="00A200A4" w:rsidRPr="00A200A4" w14:paraId="7163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73E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02CA9B4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SAFFL='Y'</w:t>
            </w:r>
          </w:p>
        </w:tc>
        <w:tc>
          <w:tcPr>
            <w:tcW w:w="0" w:type="auto"/>
            <w:vAlign w:val="center"/>
            <w:hideMark/>
          </w:tcPr>
          <w:p w14:paraId="31B46A6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Subjects receiving ≥1 dose</w:t>
            </w:r>
          </w:p>
        </w:tc>
      </w:tr>
      <w:tr w:rsidR="00A200A4" w:rsidRPr="00A200A4" w14:paraId="0D86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06D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2D530E3D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PPFL='Y'</w:t>
            </w:r>
          </w:p>
        </w:tc>
        <w:tc>
          <w:tcPr>
            <w:tcW w:w="0" w:type="auto"/>
            <w:vAlign w:val="center"/>
            <w:hideMark/>
          </w:tcPr>
          <w:p w14:paraId="6656083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 subjects without major protocol deviations</w:t>
            </w:r>
          </w:p>
        </w:tc>
      </w:tr>
    </w:tbl>
    <w:p w14:paraId="06FF500B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5EAC9BA6">
          <v:rect id="_x0000_i1032" style="width:0;height:1.5pt" o:hralign="center" o:hrstd="t" o:hr="t" fillcolor="#a0a0a0" stroked="f"/>
        </w:pict>
      </w:r>
    </w:p>
    <w:p w14:paraId="0BAE6FC5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Traceability from SDTM to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ADaM</w:t>
      </w:r>
      <w:proofErr w:type="spellEnd"/>
    </w:p>
    <w:p w14:paraId="3E028DC4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SDTM →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Mapping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07"/>
        <w:gridCol w:w="1627"/>
        <w:gridCol w:w="1960"/>
        <w:gridCol w:w="1169"/>
      </w:tblGrid>
      <w:tr w:rsidR="00A200A4" w:rsidRPr="00A200A4" w14:paraId="17FBF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570B3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02C12400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468EC47B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Domain</w:t>
            </w:r>
          </w:p>
        </w:tc>
        <w:tc>
          <w:tcPr>
            <w:tcW w:w="0" w:type="auto"/>
            <w:vAlign w:val="center"/>
            <w:hideMark/>
          </w:tcPr>
          <w:p w14:paraId="6E148129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Variable(s)</w:t>
            </w:r>
          </w:p>
        </w:tc>
        <w:tc>
          <w:tcPr>
            <w:tcW w:w="0" w:type="auto"/>
            <w:vAlign w:val="center"/>
            <w:hideMark/>
          </w:tcPr>
          <w:p w14:paraId="23ABFC54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Derivation</w:t>
            </w:r>
          </w:p>
        </w:tc>
      </w:tr>
      <w:tr w:rsidR="00A200A4" w:rsidRPr="00A200A4" w14:paraId="4BA4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8DA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F60824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471ED1A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41A1D117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77DF469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</w:t>
            </w:r>
          </w:p>
        </w:tc>
      </w:tr>
      <w:tr w:rsidR="00A200A4" w:rsidRPr="00A200A4" w14:paraId="2FB3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69A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5CCD5DB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AETERM</w:t>
            </w:r>
          </w:p>
        </w:tc>
        <w:tc>
          <w:tcPr>
            <w:tcW w:w="0" w:type="auto"/>
            <w:vAlign w:val="center"/>
            <w:hideMark/>
          </w:tcPr>
          <w:p w14:paraId="4D921F7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</w:t>
            </w:r>
          </w:p>
        </w:tc>
        <w:tc>
          <w:tcPr>
            <w:tcW w:w="0" w:type="auto"/>
            <w:vAlign w:val="center"/>
            <w:hideMark/>
          </w:tcPr>
          <w:p w14:paraId="79CDCFC0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67A7E971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Copied</w:t>
            </w:r>
          </w:p>
        </w:tc>
      </w:tr>
      <w:tr w:rsidR="00A200A4" w:rsidRPr="00A200A4" w14:paraId="0CE0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891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0D5ADE6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ASTDT</w:t>
            </w:r>
          </w:p>
        </w:tc>
        <w:tc>
          <w:tcPr>
            <w:tcW w:w="0" w:type="auto"/>
            <w:vAlign w:val="center"/>
            <w:hideMark/>
          </w:tcPr>
          <w:p w14:paraId="7212948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</w:t>
            </w:r>
          </w:p>
        </w:tc>
        <w:tc>
          <w:tcPr>
            <w:tcW w:w="0" w:type="auto"/>
            <w:vAlign w:val="center"/>
            <w:hideMark/>
          </w:tcPr>
          <w:p w14:paraId="4DD8854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AESTDTC</w:t>
            </w:r>
          </w:p>
        </w:tc>
        <w:tc>
          <w:tcPr>
            <w:tcW w:w="0" w:type="auto"/>
            <w:vAlign w:val="center"/>
            <w:hideMark/>
          </w:tcPr>
          <w:p w14:paraId="067D382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</w:t>
            </w:r>
          </w:p>
        </w:tc>
      </w:tr>
      <w:tr w:rsidR="00A200A4" w:rsidRPr="00A200A4" w14:paraId="3511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CF9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4901BD9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62D3E20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</w:t>
            </w:r>
          </w:p>
        </w:tc>
        <w:tc>
          <w:tcPr>
            <w:tcW w:w="0" w:type="auto"/>
            <w:vAlign w:val="center"/>
            <w:hideMark/>
          </w:tcPr>
          <w:p w14:paraId="75926CD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LBSTRESN</w:t>
            </w:r>
          </w:p>
        </w:tc>
        <w:tc>
          <w:tcPr>
            <w:tcW w:w="0" w:type="auto"/>
            <w:vAlign w:val="center"/>
            <w:hideMark/>
          </w:tcPr>
          <w:p w14:paraId="0D669FE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Copied</w:t>
            </w:r>
          </w:p>
        </w:tc>
      </w:tr>
      <w:tr w:rsidR="00A200A4" w:rsidRPr="00A200A4" w14:paraId="0076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CE2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2ECF90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781AFD2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AE, RS</w:t>
            </w:r>
          </w:p>
        </w:tc>
        <w:tc>
          <w:tcPr>
            <w:tcW w:w="0" w:type="auto"/>
            <w:vAlign w:val="center"/>
            <w:hideMark/>
          </w:tcPr>
          <w:p w14:paraId="3E6E990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dates</w:t>
            </w:r>
          </w:p>
        </w:tc>
        <w:tc>
          <w:tcPr>
            <w:tcW w:w="0" w:type="auto"/>
            <w:vAlign w:val="center"/>
            <w:hideMark/>
          </w:tcPr>
          <w:p w14:paraId="33F2B0D6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</w:tbl>
    <w:p w14:paraId="6A9C1741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1EDC27B8">
          <v:rect id="_x0000_i1033" style="width:0;height:1.5pt" o:hralign="center" o:hrstd="t" o:hr="t" fillcolor="#a0a0a0" stroked="f"/>
        </w:pict>
      </w:r>
    </w:p>
    <w:p w14:paraId="013519F2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Value-Level Metadata Highlights</w:t>
      </w:r>
    </w:p>
    <w:p w14:paraId="6D31051F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t>Value-level metadata are used where variable attributes differ by parameter.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54"/>
        <w:gridCol w:w="2103"/>
        <w:gridCol w:w="2068"/>
      </w:tblGrid>
      <w:tr w:rsidR="00A200A4" w:rsidRPr="00A200A4" w14:paraId="594B1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E568D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16B079C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20FC1D6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8C2A99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200A4" w:rsidRPr="00A200A4" w14:paraId="3A1A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F51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7B09747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4C58512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PARAMCD=ALB</w:t>
            </w:r>
          </w:p>
        </w:tc>
        <w:tc>
          <w:tcPr>
            <w:tcW w:w="0" w:type="auto"/>
            <w:vAlign w:val="center"/>
            <w:hideMark/>
          </w:tcPr>
          <w:p w14:paraId="188ED1F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Numeric, 1 decimal</w:t>
            </w:r>
          </w:p>
        </w:tc>
      </w:tr>
      <w:tr w:rsidR="00A200A4" w:rsidRPr="00A200A4" w14:paraId="60BB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1BA8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7B8EB7AC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2D2931C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PARAMCD=HBsAg</w:t>
            </w:r>
          </w:p>
        </w:tc>
        <w:tc>
          <w:tcPr>
            <w:tcW w:w="0" w:type="auto"/>
            <w:vAlign w:val="center"/>
            <w:hideMark/>
          </w:tcPr>
          <w:p w14:paraId="20686A1B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POS/NEG</w:t>
            </w:r>
          </w:p>
        </w:tc>
      </w:tr>
    </w:tbl>
    <w:p w14:paraId="0A7102F2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7EEC6D58">
          <v:rect id="_x0000_i1034" style="width:0;height:1.5pt" o:hralign="center" o:hrstd="t" o:hr="t" fillcolor="#a0a0a0" stroked="f"/>
        </w:pict>
      </w:r>
    </w:p>
    <w:p w14:paraId="2C8AB55D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Known Data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67"/>
        <w:gridCol w:w="4061"/>
      </w:tblGrid>
      <w:tr w:rsidR="00A200A4" w:rsidRPr="00A200A4" w14:paraId="68BAF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C7425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14:paraId="55E09498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B16D4D" w14:textId="77777777" w:rsidR="00A200A4" w:rsidRPr="00A200A4" w:rsidRDefault="00A200A4" w:rsidP="00A20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A200A4" w:rsidRPr="00A200A4" w14:paraId="49F0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789F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ADAM-01</w:t>
            </w:r>
          </w:p>
        </w:tc>
        <w:tc>
          <w:tcPr>
            <w:tcW w:w="0" w:type="auto"/>
            <w:vAlign w:val="center"/>
            <w:hideMark/>
          </w:tcPr>
          <w:p w14:paraId="09BF6333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baseline labs for some subjects</w:t>
            </w:r>
          </w:p>
        </w:tc>
        <w:tc>
          <w:tcPr>
            <w:tcW w:w="0" w:type="auto"/>
            <w:vAlign w:val="center"/>
            <w:hideMark/>
          </w:tcPr>
          <w:p w14:paraId="0E4D6389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Subjects excluded from baseline analyses</w:t>
            </w:r>
          </w:p>
        </w:tc>
      </w:tr>
      <w:tr w:rsidR="00A200A4" w:rsidRPr="00A200A4" w14:paraId="5214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A7B4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ADAM-02</w:t>
            </w:r>
          </w:p>
        </w:tc>
        <w:tc>
          <w:tcPr>
            <w:tcW w:w="0" w:type="auto"/>
            <w:vAlign w:val="center"/>
            <w:hideMark/>
          </w:tcPr>
          <w:p w14:paraId="34E9662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AE end dates</w:t>
            </w:r>
          </w:p>
        </w:tc>
        <w:tc>
          <w:tcPr>
            <w:tcW w:w="0" w:type="auto"/>
            <w:vAlign w:val="center"/>
            <w:hideMark/>
          </w:tcPr>
          <w:p w14:paraId="7901B89E" w14:textId="77777777" w:rsidR="00A200A4" w:rsidRPr="00A200A4" w:rsidRDefault="00A200A4" w:rsidP="00A200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0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 imputation applied</w:t>
            </w:r>
          </w:p>
        </w:tc>
      </w:tr>
    </w:tbl>
    <w:p w14:paraId="754B39A9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pict w14:anchorId="4F2BCF51">
          <v:rect id="_x0000_i1035" style="width:0;height:1.5pt" o:hralign="center" o:hrstd="t" o:hr="t" fillcolor="#a0a0a0" stroked="f"/>
        </w:pict>
      </w:r>
    </w:p>
    <w:p w14:paraId="61F00C6B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Relationship </w:t>
      </w:r>
      <w:proofErr w:type="gramStart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Other Documents</w:t>
      </w:r>
    </w:p>
    <w:p w14:paraId="511940CF" w14:textId="77777777" w:rsidR="00A200A4" w:rsidRPr="00A200A4" w:rsidRDefault="00A200A4" w:rsidP="00A20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Define.xml (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metadata for variables</w:t>
      </w:r>
    </w:p>
    <w:p w14:paraId="50D81A2B" w14:textId="77777777" w:rsidR="00A200A4" w:rsidRPr="00A200A4" w:rsidRDefault="00A200A4" w:rsidP="00A20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Reviewer’s Guide: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methods and implementation</w:t>
      </w:r>
    </w:p>
    <w:p w14:paraId="0D70BCB7" w14:textId="77777777" w:rsidR="00A200A4" w:rsidRPr="00A200A4" w:rsidRDefault="00A200A4" w:rsidP="00A20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methodology</w:t>
      </w:r>
    </w:p>
    <w:p w14:paraId="39046AD5" w14:textId="77777777" w:rsidR="00A200A4" w:rsidRPr="00A200A4" w:rsidRDefault="00A200A4" w:rsidP="00A20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CSR:</w:t>
      </w:r>
      <w:r w:rsidRPr="00A200A4">
        <w:rPr>
          <w:rFonts w:ascii="Times New Roman" w:eastAsia="Times New Roman" w:hAnsi="Times New Roman" w:cs="Times New Roman"/>
          <w:kern w:val="0"/>
          <w14:ligatures w14:val="none"/>
        </w:rPr>
        <w:t xml:space="preserve"> Analysis results and interpretation</w:t>
      </w:r>
    </w:p>
    <w:p w14:paraId="7983499D" w14:textId="77777777" w:rsidR="00A200A4" w:rsidRPr="00A200A4" w:rsidRDefault="00A200A4" w:rsidP="00A200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BD2420">
          <v:rect id="_x0000_i1036" style="width:0;height:1.5pt" o:hralign="center" o:hrstd="t" o:hr="t" fillcolor="#a0a0a0" stroked="f"/>
        </w:pict>
      </w:r>
    </w:p>
    <w:p w14:paraId="3CABFCE1" w14:textId="77777777" w:rsidR="00A200A4" w:rsidRPr="00A200A4" w:rsidRDefault="00A200A4" w:rsidP="00A20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takeaway</w:t>
      </w:r>
    </w:p>
    <w:p w14:paraId="2D110C7F" w14:textId="77777777" w:rsidR="00A200A4" w:rsidRPr="00A200A4" w:rsidRDefault="00A200A4" w:rsidP="00A20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proofErr w:type="spellEnd"/>
      <w:r w:rsidRPr="00A20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Reviewer’s Guide explains how the analysis datasets are structured, derived, and linked to SDTM, enabling reviewers to understand and trace the analysis data without relying on statistical code.</w:t>
      </w:r>
    </w:p>
    <w:p w14:paraId="3C960A17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E7538"/>
    <w:multiLevelType w:val="multilevel"/>
    <w:tmpl w:val="5A7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6F71"/>
    <w:multiLevelType w:val="multilevel"/>
    <w:tmpl w:val="0AB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6965">
    <w:abstractNumId w:val="1"/>
  </w:num>
  <w:num w:numId="2" w16cid:durableId="26759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A4"/>
    <w:rsid w:val="00011EA9"/>
    <w:rsid w:val="00100858"/>
    <w:rsid w:val="002A27DF"/>
    <w:rsid w:val="00A2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0187"/>
  <w15:chartTrackingRefBased/>
  <w15:docId w15:val="{83CB09CC-3C88-4A42-A214-5A03EDDF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647</Words>
  <Characters>3694</Characters>
  <Application>Microsoft Office Word</Application>
  <DocSecurity>0</DocSecurity>
  <Lines>30</Lines>
  <Paragraphs>8</Paragraphs>
  <ScaleCrop>false</ScaleCrop>
  <Company>NICHD</Company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</cp:revision>
  <dcterms:created xsi:type="dcterms:W3CDTF">2026-01-19T02:19:00Z</dcterms:created>
  <dcterms:modified xsi:type="dcterms:W3CDTF">2026-01-19T02:19:00Z</dcterms:modified>
</cp:coreProperties>
</file>