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2C8C" w14:textId="77777777" w:rsidR="00011EA9" w:rsidRDefault="00011EA9"/>
    <w:p w14:paraId="1120FC8B" w14:textId="77777777" w:rsidR="009065E3" w:rsidRPr="009065E3" w:rsidRDefault="009065E3" w:rsidP="009065E3">
      <w:pPr>
        <w:rPr>
          <w:b/>
          <w:bCs/>
        </w:rPr>
      </w:pPr>
      <w:r w:rsidRPr="009065E3">
        <w:rPr>
          <w:b/>
          <w:bCs/>
        </w:rPr>
        <w:t>Common Phase I Clinical Trial Designs and Sample Size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564"/>
        <w:gridCol w:w="2215"/>
        <w:gridCol w:w="2624"/>
        <w:gridCol w:w="1223"/>
      </w:tblGrid>
      <w:tr w:rsidR="009065E3" w:rsidRPr="009065E3" w14:paraId="2CF4C067" w14:textId="77777777" w:rsidTr="00906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5080F" w14:textId="77777777" w:rsidR="009065E3" w:rsidRPr="009065E3" w:rsidRDefault="009065E3" w:rsidP="009065E3">
            <w:pPr>
              <w:rPr>
                <w:b/>
                <w:bCs/>
              </w:rPr>
            </w:pPr>
            <w:r w:rsidRPr="009065E3">
              <w:rPr>
                <w:b/>
                <w:bCs/>
              </w:rPr>
              <w:t>Design Type</w:t>
            </w:r>
          </w:p>
        </w:tc>
        <w:tc>
          <w:tcPr>
            <w:tcW w:w="0" w:type="auto"/>
            <w:vAlign w:val="center"/>
            <w:hideMark/>
          </w:tcPr>
          <w:p w14:paraId="3F92FDB1" w14:textId="77777777" w:rsidR="009065E3" w:rsidRPr="009065E3" w:rsidRDefault="009065E3" w:rsidP="009065E3">
            <w:pPr>
              <w:rPr>
                <w:b/>
                <w:bCs/>
              </w:rPr>
            </w:pPr>
            <w:r w:rsidRPr="009065E3">
              <w:rPr>
                <w:b/>
                <w:bCs/>
              </w:rPr>
              <w:t>Primary Objective</w:t>
            </w:r>
          </w:p>
        </w:tc>
        <w:tc>
          <w:tcPr>
            <w:tcW w:w="0" w:type="auto"/>
            <w:vAlign w:val="center"/>
            <w:hideMark/>
          </w:tcPr>
          <w:p w14:paraId="051B4BC4" w14:textId="77777777" w:rsidR="009065E3" w:rsidRPr="009065E3" w:rsidRDefault="009065E3" w:rsidP="009065E3">
            <w:pPr>
              <w:rPr>
                <w:b/>
                <w:bCs/>
              </w:rPr>
            </w:pPr>
            <w:r w:rsidRPr="009065E3">
              <w:rPr>
                <w:b/>
                <w:bCs/>
              </w:rPr>
              <w:t>Typical Use Scenario</w:t>
            </w:r>
          </w:p>
        </w:tc>
        <w:tc>
          <w:tcPr>
            <w:tcW w:w="0" w:type="auto"/>
            <w:vAlign w:val="center"/>
            <w:hideMark/>
          </w:tcPr>
          <w:p w14:paraId="0336573A" w14:textId="77777777" w:rsidR="009065E3" w:rsidRPr="009065E3" w:rsidRDefault="009065E3" w:rsidP="009065E3">
            <w:pPr>
              <w:rPr>
                <w:b/>
                <w:bCs/>
              </w:rPr>
            </w:pPr>
            <w:r w:rsidRPr="009065E3">
              <w:rPr>
                <w:b/>
                <w:bCs/>
              </w:rPr>
              <w:t>Key Design Features</w:t>
            </w:r>
          </w:p>
        </w:tc>
        <w:tc>
          <w:tcPr>
            <w:tcW w:w="0" w:type="auto"/>
            <w:vAlign w:val="center"/>
            <w:hideMark/>
          </w:tcPr>
          <w:p w14:paraId="56BD0850" w14:textId="77777777" w:rsidR="009065E3" w:rsidRPr="009065E3" w:rsidRDefault="009065E3" w:rsidP="009065E3">
            <w:pPr>
              <w:rPr>
                <w:b/>
                <w:bCs/>
              </w:rPr>
            </w:pPr>
            <w:r w:rsidRPr="009065E3">
              <w:rPr>
                <w:b/>
                <w:bCs/>
              </w:rPr>
              <w:t>Typical Sample Size (Total)</w:t>
            </w:r>
          </w:p>
        </w:tc>
      </w:tr>
      <w:tr w:rsidR="009065E3" w:rsidRPr="009065E3" w14:paraId="1D199C2C" w14:textId="77777777" w:rsidTr="0090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0A02" w14:textId="77777777" w:rsidR="009065E3" w:rsidRPr="009065E3" w:rsidRDefault="009065E3" w:rsidP="009065E3">
            <w:r w:rsidRPr="009065E3">
              <w:rPr>
                <w:b/>
                <w:bCs/>
              </w:rPr>
              <w:t>3+3 Dose Escalation Design</w:t>
            </w:r>
          </w:p>
        </w:tc>
        <w:tc>
          <w:tcPr>
            <w:tcW w:w="0" w:type="auto"/>
            <w:vAlign w:val="center"/>
            <w:hideMark/>
          </w:tcPr>
          <w:p w14:paraId="653AB95A" w14:textId="77777777" w:rsidR="009065E3" w:rsidRPr="009065E3" w:rsidRDefault="009065E3" w:rsidP="009065E3">
            <w:r w:rsidRPr="009065E3">
              <w:t>Safety, MTD</w:t>
            </w:r>
          </w:p>
        </w:tc>
        <w:tc>
          <w:tcPr>
            <w:tcW w:w="0" w:type="auto"/>
            <w:vAlign w:val="center"/>
            <w:hideMark/>
          </w:tcPr>
          <w:p w14:paraId="18E5AE9A" w14:textId="77777777" w:rsidR="009065E3" w:rsidRPr="009065E3" w:rsidRDefault="009065E3" w:rsidP="009065E3">
            <w:r w:rsidRPr="009065E3">
              <w:t>FIH, conventional phase I</w:t>
            </w:r>
          </w:p>
        </w:tc>
        <w:tc>
          <w:tcPr>
            <w:tcW w:w="0" w:type="auto"/>
            <w:vAlign w:val="center"/>
            <w:hideMark/>
          </w:tcPr>
          <w:p w14:paraId="3E681BEB" w14:textId="77777777" w:rsidR="009065E3" w:rsidRPr="009065E3" w:rsidRDefault="009065E3" w:rsidP="009065E3">
            <w:r w:rsidRPr="009065E3">
              <w:t>Rule-based; 3–6 patients per dose level; dose escalation/de-escalation based on DLTs</w:t>
            </w:r>
          </w:p>
        </w:tc>
        <w:tc>
          <w:tcPr>
            <w:tcW w:w="0" w:type="auto"/>
            <w:vAlign w:val="center"/>
            <w:hideMark/>
          </w:tcPr>
          <w:p w14:paraId="3B03D545" w14:textId="77777777" w:rsidR="009065E3" w:rsidRPr="009065E3" w:rsidRDefault="009065E3" w:rsidP="009065E3">
            <w:r w:rsidRPr="009065E3">
              <w:rPr>
                <w:b/>
                <w:bCs/>
              </w:rPr>
              <w:t>15–30</w:t>
            </w:r>
          </w:p>
        </w:tc>
      </w:tr>
      <w:tr w:rsidR="009065E3" w:rsidRPr="009065E3" w14:paraId="4A60A75C" w14:textId="77777777" w:rsidTr="0090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113B" w14:textId="77777777" w:rsidR="009065E3" w:rsidRPr="009065E3" w:rsidRDefault="009065E3" w:rsidP="009065E3">
            <w:r w:rsidRPr="009065E3">
              <w:rPr>
                <w:b/>
                <w:bCs/>
              </w:rPr>
              <w:t>BOIN Design</w:t>
            </w:r>
          </w:p>
        </w:tc>
        <w:tc>
          <w:tcPr>
            <w:tcW w:w="0" w:type="auto"/>
            <w:vAlign w:val="center"/>
            <w:hideMark/>
          </w:tcPr>
          <w:p w14:paraId="77670F0C" w14:textId="77777777" w:rsidR="009065E3" w:rsidRPr="009065E3" w:rsidRDefault="009065E3" w:rsidP="009065E3">
            <w:r w:rsidRPr="009065E3">
              <w:t>Safety, MTD</w:t>
            </w:r>
          </w:p>
        </w:tc>
        <w:tc>
          <w:tcPr>
            <w:tcW w:w="0" w:type="auto"/>
            <w:vAlign w:val="center"/>
            <w:hideMark/>
          </w:tcPr>
          <w:p w14:paraId="47B9410F" w14:textId="77777777" w:rsidR="009065E3" w:rsidRPr="009065E3" w:rsidRDefault="009065E3" w:rsidP="009065E3">
            <w:r w:rsidRPr="009065E3">
              <w:t>Oncology phase I</w:t>
            </w:r>
          </w:p>
        </w:tc>
        <w:tc>
          <w:tcPr>
            <w:tcW w:w="0" w:type="auto"/>
            <w:vAlign w:val="center"/>
            <w:hideMark/>
          </w:tcPr>
          <w:p w14:paraId="2901C679" w14:textId="77777777" w:rsidR="009065E3" w:rsidRPr="009065E3" w:rsidRDefault="009065E3" w:rsidP="009065E3">
            <w:r w:rsidRPr="009065E3">
              <w:t xml:space="preserve">Interval-based rule design; no explicit model; operationally </w:t>
            </w:r>
            <w:proofErr w:type="gramStart"/>
            <w:r w:rsidRPr="009065E3">
              <w:t>similar to</w:t>
            </w:r>
            <w:proofErr w:type="gramEnd"/>
            <w:r w:rsidRPr="009065E3">
              <w:t xml:space="preserve"> 3+3</w:t>
            </w:r>
          </w:p>
        </w:tc>
        <w:tc>
          <w:tcPr>
            <w:tcW w:w="0" w:type="auto"/>
            <w:vAlign w:val="center"/>
            <w:hideMark/>
          </w:tcPr>
          <w:p w14:paraId="4427EA9F" w14:textId="77777777" w:rsidR="009065E3" w:rsidRPr="009065E3" w:rsidRDefault="009065E3" w:rsidP="009065E3">
            <w:r w:rsidRPr="009065E3">
              <w:rPr>
                <w:b/>
                <w:bCs/>
              </w:rPr>
              <w:t>20–36</w:t>
            </w:r>
          </w:p>
        </w:tc>
      </w:tr>
      <w:tr w:rsidR="009065E3" w:rsidRPr="009065E3" w14:paraId="11550D80" w14:textId="77777777" w:rsidTr="0090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46D7" w14:textId="77777777" w:rsidR="009065E3" w:rsidRPr="009065E3" w:rsidRDefault="009065E3" w:rsidP="009065E3">
            <w:r w:rsidRPr="009065E3">
              <w:rPr>
                <w:b/>
                <w:bCs/>
              </w:rPr>
              <w:t xml:space="preserve">CRM / </w:t>
            </w:r>
            <w:proofErr w:type="spellStart"/>
            <w:r w:rsidRPr="009065E3">
              <w:rPr>
                <w:b/>
                <w:bCs/>
              </w:rPr>
              <w:t>mCRM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79ED1" w14:textId="77777777" w:rsidR="009065E3" w:rsidRPr="009065E3" w:rsidRDefault="009065E3" w:rsidP="009065E3">
            <w:r w:rsidRPr="009065E3">
              <w:t>Accurate MTD estimation</w:t>
            </w:r>
          </w:p>
        </w:tc>
        <w:tc>
          <w:tcPr>
            <w:tcW w:w="0" w:type="auto"/>
            <w:vAlign w:val="center"/>
            <w:hideMark/>
          </w:tcPr>
          <w:p w14:paraId="5C648361" w14:textId="77777777" w:rsidR="009065E3" w:rsidRPr="009065E3" w:rsidRDefault="009065E3" w:rsidP="009065E3">
            <w:r w:rsidRPr="009065E3">
              <w:t>Oncology, targeted therapies</w:t>
            </w:r>
          </w:p>
        </w:tc>
        <w:tc>
          <w:tcPr>
            <w:tcW w:w="0" w:type="auto"/>
            <w:vAlign w:val="center"/>
            <w:hideMark/>
          </w:tcPr>
          <w:p w14:paraId="1710F6B5" w14:textId="77777777" w:rsidR="009065E3" w:rsidRPr="009065E3" w:rsidRDefault="009065E3" w:rsidP="009065E3">
            <w:r w:rsidRPr="009065E3">
              <w:t>Bayesian model-based design; continual updating of dose–toxicity relationship</w:t>
            </w:r>
          </w:p>
        </w:tc>
        <w:tc>
          <w:tcPr>
            <w:tcW w:w="0" w:type="auto"/>
            <w:vAlign w:val="center"/>
            <w:hideMark/>
          </w:tcPr>
          <w:p w14:paraId="00D548C3" w14:textId="77777777" w:rsidR="009065E3" w:rsidRPr="009065E3" w:rsidRDefault="009065E3" w:rsidP="009065E3">
            <w:r w:rsidRPr="009065E3">
              <w:rPr>
                <w:b/>
                <w:bCs/>
              </w:rPr>
              <w:t>20–36</w:t>
            </w:r>
          </w:p>
        </w:tc>
      </w:tr>
      <w:tr w:rsidR="009065E3" w:rsidRPr="009065E3" w14:paraId="07ECDE31" w14:textId="77777777" w:rsidTr="0090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A4DF" w14:textId="77777777" w:rsidR="009065E3" w:rsidRPr="009065E3" w:rsidRDefault="009065E3" w:rsidP="009065E3">
            <w:r w:rsidRPr="009065E3">
              <w:rPr>
                <w:b/>
                <w:bCs/>
              </w:rPr>
              <w:t>Dose Expansion Cohort</w:t>
            </w:r>
          </w:p>
        </w:tc>
        <w:tc>
          <w:tcPr>
            <w:tcW w:w="0" w:type="auto"/>
            <w:vAlign w:val="center"/>
            <w:hideMark/>
          </w:tcPr>
          <w:p w14:paraId="4C08B4EC" w14:textId="77777777" w:rsidR="009065E3" w:rsidRPr="009065E3" w:rsidRDefault="009065E3" w:rsidP="009065E3">
            <w:r w:rsidRPr="009065E3">
              <w:t>Further safety, signal exploration</w:t>
            </w:r>
          </w:p>
        </w:tc>
        <w:tc>
          <w:tcPr>
            <w:tcW w:w="0" w:type="auto"/>
            <w:vAlign w:val="center"/>
            <w:hideMark/>
          </w:tcPr>
          <w:p w14:paraId="0511A2E2" w14:textId="77777777" w:rsidR="009065E3" w:rsidRPr="009065E3" w:rsidRDefault="009065E3" w:rsidP="009065E3">
            <w:r w:rsidRPr="009065E3">
              <w:t>After RP2D / MTD determination</w:t>
            </w:r>
          </w:p>
        </w:tc>
        <w:tc>
          <w:tcPr>
            <w:tcW w:w="0" w:type="auto"/>
            <w:vAlign w:val="center"/>
            <w:hideMark/>
          </w:tcPr>
          <w:p w14:paraId="10A26B81" w14:textId="77777777" w:rsidR="009065E3" w:rsidRPr="009065E3" w:rsidRDefault="009065E3" w:rsidP="009065E3">
            <w:r w:rsidRPr="009065E3">
              <w:t>Enrollment at selected dose levels; descriptive analyses only</w:t>
            </w:r>
          </w:p>
        </w:tc>
        <w:tc>
          <w:tcPr>
            <w:tcW w:w="0" w:type="auto"/>
            <w:vAlign w:val="center"/>
            <w:hideMark/>
          </w:tcPr>
          <w:p w14:paraId="4202FE91" w14:textId="77777777" w:rsidR="009065E3" w:rsidRPr="009065E3" w:rsidRDefault="009065E3" w:rsidP="009065E3">
            <w:r w:rsidRPr="009065E3">
              <w:rPr>
                <w:b/>
                <w:bCs/>
              </w:rPr>
              <w:t>10–30 per cohort</w:t>
            </w:r>
          </w:p>
        </w:tc>
      </w:tr>
      <w:tr w:rsidR="009065E3" w:rsidRPr="009065E3" w14:paraId="290C66B5" w14:textId="77777777" w:rsidTr="0090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A54A" w14:textId="77777777" w:rsidR="009065E3" w:rsidRPr="009065E3" w:rsidRDefault="009065E3" w:rsidP="009065E3">
            <w:r w:rsidRPr="009065E3">
              <w:rPr>
                <w:b/>
                <w:bCs/>
              </w:rPr>
              <w:t>Phase I/1b (Escalation + Expansion)</w:t>
            </w:r>
          </w:p>
        </w:tc>
        <w:tc>
          <w:tcPr>
            <w:tcW w:w="0" w:type="auto"/>
            <w:vAlign w:val="center"/>
            <w:hideMark/>
          </w:tcPr>
          <w:p w14:paraId="2415D729" w14:textId="77777777" w:rsidR="009065E3" w:rsidRPr="009065E3" w:rsidRDefault="009065E3" w:rsidP="009065E3">
            <w:r w:rsidRPr="009065E3">
              <w:t>Safety + preliminary efficacy</w:t>
            </w:r>
          </w:p>
        </w:tc>
        <w:tc>
          <w:tcPr>
            <w:tcW w:w="0" w:type="auto"/>
            <w:vAlign w:val="center"/>
            <w:hideMark/>
          </w:tcPr>
          <w:p w14:paraId="74EBFA1C" w14:textId="77777777" w:rsidR="009065E3" w:rsidRPr="009065E3" w:rsidRDefault="009065E3" w:rsidP="009065E3">
            <w:r w:rsidRPr="009065E3">
              <w:t>Oncology targeted / immunotherapies</w:t>
            </w:r>
          </w:p>
        </w:tc>
        <w:tc>
          <w:tcPr>
            <w:tcW w:w="0" w:type="auto"/>
            <w:vAlign w:val="center"/>
            <w:hideMark/>
          </w:tcPr>
          <w:p w14:paraId="1BE7098C" w14:textId="77777777" w:rsidR="009065E3" w:rsidRPr="009065E3" w:rsidRDefault="009065E3" w:rsidP="009065E3">
            <w:r w:rsidRPr="009065E3">
              <w:t>Dose escalation followed by multiple expansion cohorts</w:t>
            </w:r>
          </w:p>
        </w:tc>
        <w:tc>
          <w:tcPr>
            <w:tcW w:w="0" w:type="auto"/>
            <w:vAlign w:val="center"/>
            <w:hideMark/>
          </w:tcPr>
          <w:p w14:paraId="0965FFA1" w14:textId="77777777" w:rsidR="009065E3" w:rsidRPr="009065E3" w:rsidRDefault="009065E3" w:rsidP="009065E3">
            <w:r w:rsidRPr="009065E3">
              <w:rPr>
                <w:b/>
                <w:bCs/>
              </w:rPr>
              <w:t>30–60+</w:t>
            </w:r>
          </w:p>
        </w:tc>
      </w:tr>
      <w:tr w:rsidR="009065E3" w:rsidRPr="009065E3" w14:paraId="1C6F74DA" w14:textId="77777777" w:rsidTr="0090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EF77" w14:textId="77777777" w:rsidR="009065E3" w:rsidRPr="009065E3" w:rsidRDefault="009065E3" w:rsidP="009065E3">
            <w:r w:rsidRPr="009065E3">
              <w:rPr>
                <w:b/>
                <w:bCs/>
              </w:rPr>
              <w:t>Healthy Volunteer Phase I (SAD/MAD)</w:t>
            </w:r>
          </w:p>
        </w:tc>
        <w:tc>
          <w:tcPr>
            <w:tcW w:w="0" w:type="auto"/>
            <w:vAlign w:val="center"/>
            <w:hideMark/>
          </w:tcPr>
          <w:p w14:paraId="600B8D88" w14:textId="77777777" w:rsidR="009065E3" w:rsidRPr="009065E3" w:rsidRDefault="009065E3" w:rsidP="009065E3">
            <w:r w:rsidRPr="009065E3">
              <w:t>Safety, PK</w:t>
            </w:r>
          </w:p>
        </w:tc>
        <w:tc>
          <w:tcPr>
            <w:tcW w:w="0" w:type="auto"/>
            <w:vAlign w:val="center"/>
            <w:hideMark/>
          </w:tcPr>
          <w:p w14:paraId="36418A6D" w14:textId="77777777" w:rsidR="009065E3" w:rsidRPr="009065E3" w:rsidRDefault="009065E3" w:rsidP="009065E3">
            <w:r w:rsidRPr="009065E3">
              <w:t>Non-oncology small molecules</w:t>
            </w:r>
          </w:p>
        </w:tc>
        <w:tc>
          <w:tcPr>
            <w:tcW w:w="0" w:type="auto"/>
            <w:vAlign w:val="center"/>
            <w:hideMark/>
          </w:tcPr>
          <w:p w14:paraId="0B684048" w14:textId="77777777" w:rsidR="009065E3" w:rsidRPr="009065E3" w:rsidRDefault="009065E3" w:rsidP="009065E3">
            <w:r w:rsidRPr="009065E3">
              <w:t>Single- and multiple-ascending dose; sequential dosing</w:t>
            </w:r>
          </w:p>
        </w:tc>
        <w:tc>
          <w:tcPr>
            <w:tcW w:w="0" w:type="auto"/>
            <w:vAlign w:val="center"/>
            <w:hideMark/>
          </w:tcPr>
          <w:p w14:paraId="3976C4FA" w14:textId="77777777" w:rsidR="009065E3" w:rsidRPr="009065E3" w:rsidRDefault="009065E3" w:rsidP="009065E3">
            <w:r w:rsidRPr="009065E3">
              <w:rPr>
                <w:b/>
                <w:bCs/>
              </w:rPr>
              <w:t>40–80</w:t>
            </w:r>
          </w:p>
        </w:tc>
      </w:tr>
    </w:tbl>
    <w:p w14:paraId="60087DCC" w14:textId="5FFCB341" w:rsidR="009065E3" w:rsidRDefault="009065E3"/>
    <w:p w14:paraId="7C75A737" w14:textId="77777777" w:rsidR="009065E3" w:rsidRDefault="009065E3">
      <w:r>
        <w:br w:type="page"/>
      </w:r>
    </w:p>
    <w:p w14:paraId="076C476C" w14:textId="77777777" w:rsidR="009065E3" w:rsidRDefault="009065E3"/>
    <w:p w14:paraId="201FD30B" w14:textId="77777777" w:rsidR="009065E3" w:rsidRPr="009065E3" w:rsidRDefault="009065E3" w:rsidP="009065E3">
      <w:pPr>
        <w:rPr>
          <w:b/>
          <w:bCs/>
        </w:rPr>
      </w:pPr>
      <w:r w:rsidRPr="009065E3">
        <w:rPr>
          <w:b/>
          <w:bCs/>
        </w:rPr>
        <w:t>Common Phase II Clinical Trial Designs and Sample Size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616"/>
        <w:gridCol w:w="1826"/>
        <w:gridCol w:w="2707"/>
        <w:gridCol w:w="1282"/>
      </w:tblGrid>
      <w:tr w:rsidR="009065E3" w:rsidRPr="009065E3" w14:paraId="15AF01F1" w14:textId="77777777" w:rsidTr="00906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01586" w14:textId="77777777" w:rsidR="009065E3" w:rsidRPr="009065E3" w:rsidRDefault="009065E3" w:rsidP="009065E3">
            <w:pPr>
              <w:rPr>
                <w:b/>
                <w:bCs/>
              </w:rPr>
            </w:pPr>
            <w:r w:rsidRPr="009065E3">
              <w:rPr>
                <w:b/>
                <w:bCs/>
              </w:rPr>
              <w:t>Design Type</w:t>
            </w:r>
          </w:p>
        </w:tc>
        <w:tc>
          <w:tcPr>
            <w:tcW w:w="0" w:type="auto"/>
            <w:vAlign w:val="center"/>
            <w:hideMark/>
          </w:tcPr>
          <w:p w14:paraId="3876AF4A" w14:textId="77777777" w:rsidR="009065E3" w:rsidRPr="009065E3" w:rsidRDefault="009065E3" w:rsidP="009065E3">
            <w:pPr>
              <w:rPr>
                <w:b/>
                <w:bCs/>
              </w:rPr>
            </w:pPr>
            <w:r w:rsidRPr="009065E3">
              <w:rPr>
                <w:b/>
                <w:bCs/>
              </w:rPr>
              <w:t>Primary Objective</w:t>
            </w:r>
          </w:p>
        </w:tc>
        <w:tc>
          <w:tcPr>
            <w:tcW w:w="0" w:type="auto"/>
            <w:vAlign w:val="center"/>
            <w:hideMark/>
          </w:tcPr>
          <w:p w14:paraId="3C2F7C3B" w14:textId="77777777" w:rsidR="009065E3" w:rsidRPr="009065E3" w:rsidRDefault="009065E3" w:rsidP="009065E3">
            <w:pPr>
              <w:rPr>
                <w:b/>
                <w:bCs/>
              </w:rPr>
            </w:pPr>
            <w:r w:rsidRPr="009065E3">
              <w:rPr>
                <w:b/>
                <w:bCs/>
              </w:rPr>
              <w:t>Typical Use Scenario</w:t>
            </w:r>
          </w:p>
        </w:tc>
        <w:tc>
          <w:tcPr>
            <w:tcW w:w="0" w:type="auto"/>
            <w:vAlign w:val="center"/>
            <w:hideMark/>
          </w:tcPr>
          <w:p w14:paraId="04BDAED1" w14:textId="77777777" w:rsidR="009065E3" w:rsidRPr="009065E3" w:rsidRDefault="009065E3" w:rsidP="009065E3">
            <w:pPr>
              <w:rPr>
                <w:b/>
                <w:bCs/>
              </w:rPr>
            </w:pPr>
            <w:r w:rsidRPr="009065E3">
              <w:rPr>
                <w:b/>
                <w:bCs/>
              </w:rPr>
              <w:t>Key Design Features</w:t>
            </w:r>
          </w:p>
        </w:tc>
        <w:tc>
          <w:tcPr>
            <w:tcW w:w="0" w:type="auto"/>
            <w:vAlign w:val="center"/>
            <w:hideMark/>
          </w:tcPr>
          <w:p w14:paraId="7BE8310F" w14:textId="77777777" w:rsidR="009065E3" w:rsidRPr="009065E3" w:rsidRDefault="009065E3" w:rsidP="009065E3">
            <w:pPr>
              <w:rPr>
                <w:b/>
                <w:bCs/>
              </w:rPr>
            </w:pPr>
            <w:r w:rsidRPr="009065E3">
              <w:rPr>
                <w:b/>
                <w:bCs/>
              </w:rPr>
              <w:t>Typical Sample Size (Total)</w:t>
            </w:r>
          </w:p>
        </w:tc>
      </w:tr>
      <w:tr w:rsidR="009065E3" w:rsidRPr="009065E3" w14:paraId="70FCFE9C" w14:textId="77777777" w:rsidTr="0090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26D5" w14:textId="77777777" w:rsidR="009065E3" w:rsidRPr="009065E3" w:rsidRDefault="009065E3" w:rsidP="009065E3">
            <w:r w:rsidRPr="009065E3">
              <w:rPr>
                <w:b/>
                <w:bCs/>
              </w:rPr>
              <w:t>Single-Arm Phase II</w:t>
            </w:r>
          </w:p>
        </w:tc>
        <w:tc>
          <w:tcPr>
            <w:tcW w:w="0" w:type="auto"/>
            <w:vAlign w:val="center"/>
            <w:hideMark/>
          </w:tcPr>
          <w:p w14:paraId="32E0A0A2" w14:textId="77777777" w:rsidR="009065E3" w:rsidRPr="009065E3" w:rsidRDefault="009065E3" w:rsidP="009065E3">
            <w:r w:rsidRPr="009065E3">
              <w:t>Preliminary efficacy</w:t>
            </w:r>
          </w:p>
        </w:tc>
        <w:tc>
          <w:tcPr>
            <w:tcW w:w="0" w:type="auto"/>
            <w:vAlign w:val="center"/>
            <w:hideMark/>
          </w:tcPr>
          <w:p w14:paraId="6E7F2603" w14:textId="77777777" w:rsidR="009065E3" w:rsidRPr="009065E3" w:rsidRDefault="009065E3" w:rsidP="009065E3">
            <w:r w:rsidRPr="009065E3">
              <w:t>No standard therapy; rare diseases</w:t>
            </w:r>
          </w:p>
        </w:tc>
        <w:tc>
          <w:tcPr>
            <w:tcW w:w="0" w:type="auto"/>
            <w:vAlign w:val="center"/>
            <w:hideMark/>
          </w:tcPr>
          <w:p w14:paraId="1EE24604" w14:textId="77777777" w:rsidR="009065E3" w:rsidRPr="009065E3" w:rsidRDefault="009065E3" w:rsidP="009065E3">
            <w:r w:rsidRPr="009065E3">
              <w:t>Single treatment arm; comparison with historical control; formal statistical hypothesis</w:t>
            </w:r>
          </w:p>
        </w:tc>
        <w:tc>
          <w:tcPr>
            <w:tcW w:w="0" w:type="auto"/>
            <w:vAlign w:val="center"/>
            <w:hideMark/>
          </w:tcPr>
          <w:p w14:paraId="69A4C3EB" w14:textId="77777777" w:rsidR="009065E3" w:rsidRPr="009065E3" w:rsidRDefault="009065E3" w:rsidP="009065E3">
            <w:r w:rsidRPr="009065E3">
              <w:rPr>
                <w:b/>
                <w:bCs/>
              </w:rPr>
              <w:t>25–50</w:t>
            </w:r>
          </w:p>
        </w:tc>
      </w:tr>
      <w:tr w:rsidR="009065E3" w:rsidRPr="009065E3" w14:paraId="251CDB39" w14:textId="77777777" w:rsidTr="0090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AA9F" w14:textId="77777777" w:rsidR="009065E3" w:rsidRPr="009065E3" w:rsidRDefault="009065E3" w:rsidP="009065E3">
            <w:r w:rsidRPr="009065E3">
              <w:rPr>
                <w:b/>
                <w:bCs/>
              </w:rPr>
              <w:t>Single-Arm Phase II (Simon Two-Stage)</w:t>
            </w:r>
          </w:p>
        </w:tc>
        <w:tc>
          <w:tcPr>
            <w:tcW w:w="0" w:type="auto"/>
            <w:vAlign w:val="center"/>
            <w:hideMark/>
          </w:tcPr>
          <w:p w14:paraId="5E5E6AA7" w14:textId="77777777" w:rsidR="009065E3" w:rsidRPr="009065E3" w:rsidRDefault="009065E3" w:rsidP="009065E3">
            <w:r w:rsidRPr="009065E3">
              <w:t>Go / no-go decision</w:t>
            </w:r>
          </w:p>
        </w:tc>
        <w:tc>
          <w:tcPr>
            <w:tcW w:w="0" w:type="auto"/>
            <w:vAlign w:val="center"/>
            <w:hideMark/>
          </w:tcPr>
          <w:p w14:paraId="672E8127" w14:textId="77777777" w:rsidR="009065E3" w:rsidRPr="009065E3" w:rsidRDefault="009065E3" w:rsidP="009065E3">
            <w:r w:rsidRPr="009065E3">
              <w:t>Early efficacy screening</w:t>
            </w:r>
          </w:p>
        </w:tc>
        <w:tc>
          <w:tcPr>
            <w:tcW w:w="0" w:type="auto"/>
            <w:vAlign w:val="center"/>
            <w:hideMark/>
          </w:tcPr>
          <w:p w14:paraId="7E1D9200" w14:textId="77777777" w:rsidR="009065E3" w:rsidRPr="009065E3" w:rsidRDefault="009065E3" w:rsidP="009065E3">
            <w:r w:rsidRPr="009065E3">
              <w:t>Two-stage design with early stopping for futility</w:t>
            </w:r>
          </w:p>
        </w:tc>
        <w:tc>
          <w:tcPr>
            <w:tcW w:w="0" w:type="auto"/>
            <w:vAlign w:val="center"/>
            <w:hideMark/>
          </w:tcPr>
          <w:p w14:paraId="4F770C3A" w14:textId="77777777" w:rsidR="009065E3" w:rsidRPr="009065E3" w:rsidRDefault="009065E3" w:rsidP="009065E3">
            <w:r w:rsidRPr="009065E3">
              <w:rPr>
                <w:b/>
                <w:bCs/>
              </w:rPr>
              <w:t>30–40</w:t>
            </w:r>
            <w:r w:rsidRPr="009065E3">
              <w:t xml:space="preserve"> (average fewer)</w:t>
            </w:r>
          </w:p>
        </w:tc>
      </w:tr>
      <w:tr w:rsidR="009065E3" w:rsidRPr="009065E3" w14:paraId="69AACCE7" w14:textId="77777777" w:rsidTr="0090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DE7D" w14:textId="77777777" w:rsidR="009065E3" w:rsidRPr="009065E3" w:rsidRDefault="009065E3" w:rsidP="009065E3">
            <w:r w:rsidRPr="009065E3">
              <w:rPr>
                <w:b/>
                <w:bCs/>
              </w:rPr>
              <w:t>Randomized Controlled Phase II</w:t>
            </w:r>
          </w:p>
        </w:tc>
        <w:tc>
          <w:tcPr>
            <w:tcW w:w="0" w:type="auto"/>
            <w:vAlign w:val="center"/>
            <w:hideMark/>
          </w:tcPr>
          <w:p w14:paraId="71EE57DE" w14:textId="77777777" w:rsidR="009065E3" w:rsidRPr="009065E3" w:rsidRDefault="009065E3" w:rsidP="009065E3">
            <w:r w:rsidRPr="009065E3">
              <w:t>Comparative efficacy</w:t>
            </w:r>
          </w:p>
        </w:tc>
        <w:tc>
          <w:tcPr>
            <w:tcW w:w="0" w:type="auto"/>
            <w:vAlign w:val="center"/>
            <w:hideMark/>
          </w:tcPr>
          <w:p w14:paraId="5FADE685" w14:textId="77777777" w:rsidR="009065E3" w:rsidRPr="009065E3" w:rsidRDefault="009065E3" w:rsidP="009065E3">
            <w:r w:rsidRPr="009065E3">
              <w:t>Existing standard of care</w:t>
            </w:r>
          </w:p>
        </w:tc>
        <w:tc>
          <w:tcPr>
            <w:tcW w:w="0" w:type="auto"/>
            <w:vAlign w:val="center"/>
            <w:hideMark/>
          </w:tcPr>
          <w:p w14:paraId="2D71545C" w14:textId="77777777" w:rsidR="009065E3" w:rsidRPr="009065E3" w:rsidRDefault="009065E3" w:rsidP="009065E3">
            <w:r w:rsidRPr="009065E3">
              <w:t>Randomized (e.g., 1:1 or 2:1); screening comparison</w:t>
            </w:r>
          </w:p>
        </w:tc>
        <w:tc>
          <w:tcPr>
            <w:tcW w:w="0" w:type="auto"/>
            <w:vAlign w:val="center"/>
            <w:hideMark/>
          </w:tcPr>
          <w:p w14:paraId="6FBE114E" w14:textId="77777777" w:rsidR="009065E3" w:rsidRPr="009065E3" w:rsidRDefault="009065E3" w:rsidP="009065E3">
            <w:r w:rsidRPr="009065E3">
              <w:rPr>
                <w:b/>
                <w:bCs/>
              </w:rPr>
              <w:t>60–120</w:t>
            </w:r>
            <w:r w:rsidRPr="009065E3">
              <w:t xml:space="preserve"> (≈30–60 per arm)</w:t>
            </w:r>
          </w:p>
        </w:tc>
      </w:tr>
      <w:tr w:rsidR="009065E3" w:rsidRPr="009065E3" w14:paraId="6E9C6B56" w14:textId="77777777" w:rsidTr="0090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A597" w14:textId="77777777" w:rsidR="009065E3" w:rsidRPr="009065E3" w:rsidRDefault="009065E3" w:rsidP="009065E3">
            <w:r w:rsidRPr="009065E3">
              <w:rPr>
                <w:b/>
                <w:bCs/>
              </w:rPr>
              <w:t>Randomized Non-Comparative Phase II</w:t>
            </w:r>
          </w:p>
        </w:tc>
        <w:tc>
          <w:tcPr>
            <w:tcW w:w="0" w:type="auto"/>
            <w:vAlign w:val="center"/>
            <w:hideMark/>
          </w:tcPr>
          <w:p w14:paraId="4D746C5E" w14:textId="77777777" w:rsidR="009065E3" w:rsidRPr="009065E3" w:rsidRDefault="009065E3" w:rsidP="009065E3">
            <w:r w:rsidRPr="009065E3">
              <w:t>Regimen or dose selection</w:t>
            </w:r>
          </w:p>
        </w:tc>
        <w:tc>
          <w:tcPr>
            <w:tcW w:w="0" w:type="auto"/>
            <w:vAlign w:val="center"/>
            <w:hideMark/>
          </w:tcPr>
          <w:p w14:paraId="066E3C2D" w14:textId="77777777" w:rsidR="009065E3" w:rsidRPr="009065E3" w:rsidRDefault="009065E3" w:rsidP="009065E3">
            <w:r w:rsidRPr="009065E3">
              <w:t>Multiple doses or combinations</w:t>
            </w:r>
          </w:p>
        </w:tc>
        <w:tc>
          <w:tcPr>
            <w:tcW w:w="0" w:type="auto"/>
            <w:vAlign w:val="center"/>
            <w:hideMark/>
          </w:tcPr>
          <w:p w14:paraId="4E073EA6" w14:textId="77777777" w:rsidR="009065E3" w:rsidRPr="009065E3" w:rsidRDefault="009065E3" w:rsidP="009065E3">
            <w:r w:rsidRPr="009065E3">
              <w:t>Randomized arms analyzed independently; no formal between-arm comparison</w:t>
            </w:r>
          </w:p>
        </w:tc>
        <w:tc>
          <w:tcPr>
            <w:tcW w:w="0" w:type="auto"/>
            <w:vAlign w:val="center"/>
            <w:hideMark/>
          </w:tcPr>
          <w:p w14:paraId="06FB37E8" w14:textId="77777777" w:rsidR="009065E3" w:rsidRPr="009065E3" w:rsidRDefault="009065E3" w:rsidP="009065E3">
            <w:r w:rsidRPr="009065E3">
              <w:rPr>
                <w:b/>
                <w:bCs/>
              </w:rPr>
              <w:t>25–50 per arm</w:t>
            </w:r>
          </w:p>
        </w:tc>
      </w:tr>
      <w:tr w:rsidR="009065E3" w:rsidRPr="009065E3" w14:paraId="6773CB97" w14:textId="77777777" w:rsidTr="0090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BAF5" w14:textId="77777777" w:rsidR="009065E3" w:rsidRPr="009065E3" w:rsidRDefault="009065E3" w:rsidP="009065E3">
            <w:r w:rsidRPr="009065E3">
              <w:rPr>
                <w:b/>
                <w:bCs/>
              </w:rPr>
              <w:t>Adaptive Phase II</w:t>
            </w:r>
          </w:p>
        </w:tc>
        <w:tc>
          <w:tcPr>
            <w:tcW w:w="0" w:type="auto"/>
            <w:vAlign w:val="center"/>
            <w:hideMark/>
          </w:tcPr>
          <w:p w14:paraId="72E6EE17" w14:textId="77777777" w:rsidR="009065E3" w:rsidRPr="009065E3" w:rsidRDefault="009065E3" w:rsidP="009065E3">
            <w:r w:rsidRPr="009065E3">
              <w:t>Efficient decision-making</w:t>
            </w:r>
          </w:p>
        </w:tc>
        <w:tc>
          <w:tcPr>
            <w:tcW w:w="0" w:type="auto"/>
            <w:vAlign w:val="center"/>
            <w:hideMark/>
          </w:tcPr>
          <w:p w14:paraId="2048E531" w14:textId="77777777" w:rsidR="009065E3" w:rsidRPr="009065E3" w:rsidRDefault="009065E3" w:rsidP="009065E3">
            <w:r w:rsidRPr="009065E3">
              <w:t>Multiple regimens / biomarkers</w:t>
            </w:r>
          </w:p>
        </w:tc>
        <w:tc>
          <w:tcPr>
            <w:tcW w:w="0" w:type="auto"/>
            <w:vAlign w:val="center"/>
            <w:hideMark/>
          </w:tcPr>
          <w:p w14:paraId="278D4485" w14:textId="77777777" w:rsidR="009065E3" w:rsidRPr="009065E3" w:rsidRDefault="009065E3" w:rsidP="009065E3">
            <w:r w:rsidRPr="009065E3">
              <w:t>Pre-specified interim adaptations; flexible sample size</w:t>
            </w:r>
          </w:p>
        </w:tc>
        <w:tc>
          <w:tcPr>
            <w:tcW w:w="0" w:type="auto"/>
            <w:vAlign w:val="center"/>
            <w:hideMark/>
          </w:tcPr>
          <w:p w14:paraId="718A733C" w14:textId="77777777" w:rsidR="009065E3" w:rsidRPr="009065E3" w:rsidRDefault="009065E3" w:rsidP="009065E3">
            <w:r w:rsidRPr="009065E3">
              <w:rPr>
                <w:b/>
                <w:bCs/>
              </w:rPr>
              <w:t>Variable (often 50–100)</w:t>
            </w:r>
          </w:p>
        </w:tc>
      </w:tr>
      <w:tr w:rsidR="009065E3" w:rsidRPr="009065E3" w14:paraId="34FFFFA3" w14:textId="77777777" w:rsidTr="0090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575D" w14:textId="77777777" w:rsidR="009065E3" w:rsidRPr="009065E3" w:rsidRDefault="009065E3" w:rsidP="009065E3">
            <w:r w:rsidRPr="009065E3">
              <w:rPr>
                <w:b/>
                <w:bCs/>
              </w:rPr>
              <w:t>Phase II in Rare Diseases</w:t>
            </w:r>
          </w:p>
        </w:tc>
        <w:tc>
          <w:tcPr>
            <w:tcW w:w="0" w:type="auto"/>
            <w:vAlign w:val="center"/>
            <w:hideMark/>
          </w:tcPr>
          <w:p w14:paraId="6B62801F" w14:textId="77777777" w:rsidR="009065E3" w:rsidRPr="009065E3" w:rsidRDefault="009065E3" w:rsidP="009065E3">
            <w:r w:rsidRPr="009065E3">
              <w:t>Signal detection</w:t>
            </w:r>
          </w:p>
        </w:tc>
        <w:tc>
          <w:tcPr>
            <w:tcW w:w="0" w:type="auto"/>
            <w:vAlign w:val="center"/>
            <w:hideMark/>
          </w:tcPr>
          <w:p w14:paraId="3CDA1056" w14:textId="77777777" w:rsidR="009065E3" w:rsidRPr="009065E3" w:rsidRDefault="009065E3" w:rsidP="009065E3">
            <w:r w:rsidRPr="009065E3">
              <w:t>Limited patient population</w:t>
            </w:r>
          </w:p>
        </w:tc>
        <w:tc>
          <w:tcPr>
            <w:tcW w:w="0" w:type="auto"/>
            <w:vAlign w:val="center"/>
            <w:hideMark/>
          </w:tcPr>
          <w:p w14:paraId="14B17C73" w14:textId="77777777" w:rsidR="009065E3" w:rsidRPr="009065E3" w:rsidRDefault="009065E3" w:rsidP="009065E3">
            <w:r w:rsidRPr="009065E3">
              <w:t xml:space="preserve">Relaxed assumptions on α and power; often </w:t>
            </w:r>
            <w:proofErr w:type="gramStart"/>
            <w:r w:rsidRPr="009065E3">
              <w:t>single-arm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000D02" w14:textId="77777777" w:rsidR="009065E3" w:rsidRPr="009065E3" w:rsidRDefault="009065E3" w:rsidP="009065E3">
            <w:r w:rsidRPr="009065E3">
              <w:rPr>
                <w:b/>
                <w:bCs/>
              </w:rPr>
              <w:t>15–30</w:t>
            </w:r>
          </w:p>
        </w:tc>
      </w:tr>
    </w:tbl>
    <w:p w14:paraId="46E3FF3C" w14:textId="6A4771CE" w:rsidR="009065E3" w:rsidRDefault="009065E3"/>
    <w:p w14:paraId="51E5E059" w14:textId="77777777" w:rsidR="009065E3" w:rsidRDefault="009065E3">
      <w:r>
        <w:br w:type="page"/>
      </w:r>
    </w:p>
    <w:p w14:paraId="6C894C77" w14:textId="77777777" w:rsidR="009065E3" w:rsidRDefault="009065E3"/>
    <w:p w14:paraId="03438782" w14:textId="77777777" w:rsidR="007425F3" w:rsidRPr="007425F3" w:rsidRDefault="007425F3" w:rsidP="007425F3">
      <w:pPr>
        <w:rPr>
          <w:b/>
          <w:bCs/>
        </w:rPr>
      </w:pPr>
      <w:r w:rsidRPr="007425F3">
        <w:rPr>
          <w:b/>
          <w:bCs/>
        </w:rPr>
        <w:t>Common Phase III Clinical Trial Designs and Sample Size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727"/>
        <w:gridCol w:w="1612"/>
        <w:gridCol w:w="2365"/>
        <w:gridCol w:w="1628"/>
      </w:tblGrid>
      <w:tr w:rsidR="007425F3" w:rsidRPr="007425F3" w14:paraId="62D07346" w14:textId="77777777" w:rsidTr="007425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23ECC" w14:textId="77777777" w:rsidR="007425F3" w:rsidRPr="007425F3" w:rsidRDefault="007425F3" w:rsidP="007425F3">
            <w:pPr>
              <w:rPr>
                <w:b/>
                <w:bCs/>
              </w:rPr>
            </w:pPr>
            <w:r w:rsidRPr="007425F3">
              <w:rPr>
                <w:b/>
                <w:bCs/>
              </w:rPr>
              <w:t>Design Type</w:t>
            </w:r>
          </w:p>
        </w:tc>
        <w:tc>
          <w:tcPr>
            <w:tcW w:w="0" w:type="auto"/>
            <w:vAlign w:val="center"/>
            <w:hideMark/>
          </w:tcPr>
          <w:p w14:paraId="612002C4" w14:textId="77777777" w:rsidR="007425F3" w:rsidRPr="007425F3" w:rsidRDefault="007425F3" w:rsidP="007425F3">
            <w:pPr>
              <w:rPr>
                <w:b/>
                <w:bCs/>
              </w:rPr>
            </w:pPr>
            <w:r w:rsidRPr="007425F3">
              <w:rPr>
                <w:b/>
                <w:bCs/>
              </w:rPr>
              <w:t>Primary Objective</w:t>
            </w:r>
          </w:p>
        </w:tc>
        <w:tc>
          <w:tcPr>
            <w:tcW w:w="0" w:type="auto"/>
            <w:vAlign w:val="center"/>
            <w:hideMark/>
          </w:tcPr>
          <w:p w14:paraId="241704F4" w14:textId="77777777" w:rsidR="007425F3" w:rsidRPr="007425F3" w:rsidRDefault="007425F3" w:rsidP="007425F3">
            <w:pPr>
              <w:rPr>
                <w:b/>
                <w:bCs/>
              </w:rPr>
            </w:pPr>
            <w:r w:rsidRPr="007425F3">
              <w:rPr>
                <w:b/>
                <w:bCs/>
              </w:rPr>
              <w:t>Typical Use Scenario</w:t>
            </w:r>
          </w:p>
        </w:tc>
        <w:tc>
          <w:tcPr>
            <w:tcW w:w="0" w:type="auto"/>
            <w:vAlign w:val="center"/>
            <w:hideMark/>
          </w:tcPr>
          <w:p w14:paraId="2225BFC3" w14:textId="77777777" w:rsidR="007425F3" w:rsidRPr="007425F3" w:rsidRDefault="007425F3" w:rsidP="007425F3">
            <w:pPr>
              <w:rPr>
                <w:b/>
                <w:bCs/>
              </w:rPr>
            </w:pPr>
            <w:r w:rsidRPr="007425F3">
              <w:rPr>
                <w:b/>
                <w:bCs/>
              </w:rPr>
              <w:t>Key Design Features</w:t>
            </w:r>
          </w:p>
        </w:tc>
        <w:tc>
          <w:tcPr>
            <w:tcW w:w="0" w:type="auto"/>
            <w:vAlign w:val="center"/>
            <w:hideMark/>
          </w:tcPr>
          <w:p w14:paraId="1D3A5B62" w14:textId="77777777" w:rsidR="007425F3" w:rsidRPr="007425F3" w:rsidRDefault="007425F3" w:rsidP="007425F3">
            <w:pPr>
              <w:rPr>
                <w:b/>
                <w:bCs/>
              </w:rPr>
            </w:pPr>
            <w:r w:rsidRPr="007425F3">
              <w:rPr>
                <w:b/>
                <w:bCs/>
              </w:rPr>
              <w:t>Typical Sample Size (Total)</w:t>
            </w:r>
          </w:p>
        </w:tc>
      </w:tr>
      <w:tr w:rsidR="007425F3" w:rsidRPr="007425F3" w14:paraId="17DABEE0" w14:textId="77777777" w:rsidTr="00742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38DE" w14:textId="77777777" w:rsidR="007425F3" w:rsidRPr="007425F3" w:rsidRDefault="007425F3" w:rsidP="007425F3">
            <w:r w:rsidRPr="007425F3">
              <w:rPr>
                <w:b/>
                <w:bCs/>
              </w:rPr>
              <w:t>Randomized Controlled Phase III (Superiority)</w:t>
            </w:r>
          </w:p>
        </w:tc>
        <w:tc>
          <w:tcPr>
            <w:tcW w:w="0" w:type="auto"/>
            <w:vAlign w:val="center"/>
            <w:hideMark/>
          </w:tcPr>
          <w:p w14:paraId="350980D4" w14:textId="77777777" w:rsidR="007425F3" w:rsidRPr="007425F3" w:rsidRDefault="007425F3" w:rsidP="007425F3">
            <w:r w:rsidRPr="007425F3">
              <w:t>Confirm efficacy and safety</w:t>
            </w:r>
          </w:p>
        </w:tc>
        <w:tc>
          <w:tcPr>
            <w:tcW w:w="0" w:type="auto"/>
            <w:vAlign w:val="center"/>
            <w:hideMark/>
          </w:tcPr>
          <w:p w14:paraId="48A0194F" w14:textId="77777777" w:rsidR="007425F3" w:rsidRPr="007425F3" w:rsidRDefault="007425F3" w:rsidP="007425F3">
            <w:r w:rsidRPr="007425F3">
              <w:t>Established standard of care</w:t>
            </w:r>
          </w:p>
        </w:tc>
        <w:tc>
          <w:tcPr>
            <w:tcW w:w="0" w:type="auto"/>
            <w:vAlign w:val="center"/>
            <w:hideMark/>
          </w:tcPr>
          <w:p w14:paraId="40F7D2CD" w14:textId="77777777" w:rsidR="007425F3" w:rsidRPr="007425F3" w:rsidRDefault="007425F3" w:rsidP="007425F3">
            <w:r w:rsidRPr="007425F3">
              <w:t>Randomized (typically 1:1); formal hypothesis testing versus standard therapy</w:t>
            </w:r>
          </w:p>
        </w:tc>
        <w:tc>
          <w:tcPr>
            <w:tcW w:w="0" w:type="auto"/>
            <w:vAlign w:val="center"/>
            <w:hideMark/>
          </w:tcPr>
          <w:p w14:paraId="7E5ED9E9" w14:textId="77777777" w:rsidR="007425F3" w:rsidRPr="007425F3" w:rsidRDefault="007425F3" w:rsidP="007425F3">
            <w:r w:rsidRPr="007425F3">
              <w:rPr>
                <w:b/>
                <w:bCs/>
              </w:rPr>
              <w:t>300–1,000+</w:t>
            </w:r>
          </w:p>
        </w:tc>
      </w:tr>
      <w:tr w:rsidR="007425F3" w:rsidRPr="007425F3" w14:paraId="248BD83E" w14:textId="77777777" w:rsidTr="00742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5B56" w14:textId="77777777" w:rsidR="007425F3" w:rsidRPr="007425F3" w:rsidRDefault="007425F3" w:rsidP="007425F3">
            <w:r w:rsidRPr="007425F3">
              <w:rPr>
                <w:b/>
                <w:bCs/>
              </w:rPr>
              <w:t>Randomized Controlled Phase III (Non-inferiority)</w:t>
            </w:r>
          </w:p>
        </w:tc>
        <w:tc>
          <w:tcPr>
            <w:tcW w:w="0" w:type="auto"/>
            <w:vAlign w:val="center"/>
            <w:hideMark/>
          </w:tcPr>
          <w:p w14:paraId="5691C26A" w14:textId="77777777" w:rsidR="007425F3" w:rsidRPr="007425F3" w:rsidRDefault="007425F3" w:rsidP="007425F3">
            <w:r w:rsidRPr="007425F3">
              <w:t>Demonstrate non-inferiority</w:t>
            </w:r>
          </w:p>
        </w:tc>
        <w:tc>
          <w:tcPr>
            <w:tcW w:w="0" w:type="auto"/>
            <w:vAlign w:val="center"/>
            <w:hideMark/>
          </w:tcPr>
          <w:p w14:paraId="30DC43FC" w14:textId="77777777" w:rsidR="007425F3" w:rsidRPr="007425F3" w:rsidRDefault="007425F3" w:rsidP="007425F3">
            <w:r w:rsidRPr="007425F3">
              <w:t>Effective standard therapy exists</w:t>
            </w:r>
          </w:p>
        </w:tc>
        <w:tc>
          <w:tcPr>
            <w:tcW w:w="0" w:type="auto"/>
            <w:vAlign w:val="center"/>
            <w:hideMark/>
          </w:tcPr>
          <w:p w14:paraId="0D28EE78" w14:textId="77777777" w:rsidR="007425F3" w:rsidRPr="007425F3" w:rsidRDefault="007425F3" w:rsidP="007425F3">
            <w:r w:rsidRPr="007425F3">
              <w:t>Pre-specified non-inferiority margin; choice of control critical</w:t>
            </w:r>
          </w:p>
        </w:tc>
        <w:tc>
          <w:tcPr>
            <w:tcW w:w="0" w:type="auto"/>
            <w:vAlign w:val="center"/>
            <w:hideMark/>
          </w:tcPr>
          <w:p w14:paraId="765135DA" w14:textId="77777777" w:rsidR="007425F3" w:rsidRPr="007425F3" w:rsidRDefault="007425F3" w:rsidP="007425F3">
            <w:r w:rsidRPr="007425F3">
              <w:rPr>
                <w:b/>
                <w:bCs/>
              </w:rPr>
              <w:t>500–2,000+</w:t>
            </w:r>
          </w:p>
        </w:tc>
      </w:tr>
      <w:tr w:rsidR="007425F3" w:rsidRPr="007425F3" w14:paraId="428C9A78" w14:textId="77777777" w:rsidTr="00742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99AB" w14:textId="77777777" w:rsidR="007425F3" w:rsidRPr="007425F3" w:rsidRDefault="007425F3" w:rsidP="007425F3">
            <w:r w:rsidRPr="007425F3">
              <w:rPr>
                <w:b/>
                <w:bCs/>
              </w:rPr>
              <w:t>Placebo-Controlled Phase III</w:t>
            </w:r>
          </w:p>
        </w:tc>
        <w:tc>
          <w:tcPr>
            <w:tcW w:w="0" w:type="auto"/>
            <w:vAlign w:val="center"/>
            <w:hideMark/>
          </w:tcPr>
          <w:p w14:paraId="535AF21D" w14:textId="77777777" w:rsidR="007425F3" w:rsidRPr="007425F3" w:rsidRDefault="007425F3" w:rsidP="007425F3">
            <w:r w:rsidRPr="007425F3">
              <w:t>Confirm efficacy</w:t>
            </w:r>
          </w:p>
        </w:tc>
        <w:tc>
          <w:tcPr>
            <w:tcW w:w="0" w:type="auto"/>
            <w:vAlign w:val="center"/>
            <w:hideMark/>
          </w:tcPr>
          <w:p w14:paraId="630716D4" w14:textId="77777777" w:rsidR="007425F3" w:rsidRPr="007425F3" w:rsidRDefault="007425F3" w:rsidP="007425F3">
            <w:r w:rsidRPr="007425F3">
              <w:t>No effective standard therapy</w:t>
            </w:r>
          </w:p>
        </w:tc>
        <w:tc>
          <w:tcPr>
            <w:tcW w:w="0" w:type="auto"/>
            <w:vAlign w:val="center"/>
            <w:hideMark/>
          </w:tcPr>
          <w:p w14:paraId="2203AA1E" w14:textId="77777777" w:rsidR="007425F3" w:rsidRPr="007425F3" w:rsidRDefault="007425F3" w:rsidP="007425F3">
            <w:r w:rsidRPr="007425F3">
              <w:t>Randomized, double-blind, placebo-controlled</w:t>
            </w:r>
          </w:p>
        </w:tc>
        <w:tc>
          <w:tcPr>
            <w:tcW w:w="0" w:type="auto"/>
            <w:vAlign w:val="center"/>
            <w:hideMark/>
          </w:tcPr>
          <w:p w14:paraId="01A21858" w14:textId="77777777" w:rsidR="007425F3" w:rsidRPr="007425F3" w:rsidRDefault="007425F3" w:rsidP="007425F3">
            <w:r w:rsidRPr="007425F3">
              <w:rPr>
                <w:b/>
                <w:bCs/>
              </w:rPr>
              <w:t>200–800</w:t>
            </w:r>
          </w:p>
        </w:tc>
      </w:tr>
      <w:tr w:rsidR="007425F3" w:rsidRPr="007425F3" w14:paraId="3A27CBFA" w14:textId="77777777" w:rsidTr="00742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D7C5" w14:textId="77777777" w:rsidR="007425F3" w:rsidRPr="007425F3" w:rsidRDefault="007425F3" w:rsidP="007425F3">
            <w:r w:rsidRPr="007425F3">
              <w:rPr>
                <w:b/>
                <w:bCs/>
              </w:rPr>
              <w:t>Event-Driven Phase III</w:t>
            </w:r>
          </w:p>
        </w:tc>
        <w:tc>
          <w:tcPr>
            <w:tcW w:w="0" w:type="auto"/>
            <w:vAlign w:val="center"/>
            <w:hideMark/>
          </w:tcPr>
          <w:p w14:paraId="7F786E43" w14:textId="77777777" w:rsidR="007425F3" w:rsidRPr="007425F3" w:rsidRDefault="007425F3" w:rsidP="007425F3">
            <w:r w:rsidRPr="007425F3">
              <w:t>Evaluate time-to-event outcomes</w:t>
            </w:r>
          </w:p>
        </w:tc>
        <w:tc>
          <w:tcPr>
            <w:tcW w:w="0" w:type="auto"/>
            <w:vAlign w:val="center"/>
            <w:hideMark/>
          </w:tcPr>
          <w:p w14:paraId="4A2B0E67" w14:textId="77777777" w:rsidR="007425F3" w:rsidRPr="007425F3" w:rsidRDefault="007425F3" w:rsidP="007425F3">
            <w:r w:rsidRPr="007425F3">
              <w:t>PFS / OS as primary endpoint</w:t>
            </w:r>
          </w:p>
        </w:tc>
        <w:tc>
          <w:tcPr>
            <w:tcW w:w="0" w:type="auto"/>
            <w:vAlign w:val="center"/>
            <w:hideMark/>
          </w:tcPr>
          <w:p w14:paraId="70D46E3D" w14:textId="77777777" w:rsidR="007425F3" w:rsidRPr="007425F3" w:rsidRDefault="007425F3" w:rsidP="007425F3">
            <w:r w:rsidRPr="007425F3">
              <w:t>Sample size driven by required number of events; long-term follow-up</w:t>
            </w:r>
          </w:p>
        </w:tc>
        <w:tc>
          <w:tcPr>
            <w:tcW w:w="0" w:type="auto"/>
            <w:vAlign w:val="center"/>
            <w:hideMark/>
          </w:tcPr>
          <w:p w14:paraId="20961EC9" w14:textId="77777777" w:rsidR="007425F3" w:rsidRPr="007425F3" w:rsidRDefault="007425F3" w:rsidP="007425F3">
            <w:r w:rsidRPr="007425F3">
              <w:rPr>
                <w:b/>
                <w:bCs/>
              </w:rPr>
              <w:t>600–2,000+</w:t>
            </w:r>
          </w:p>
        </w:tc>
      </w:tr>
      <w:tr w:rsidR="007425F3" w:rsidRPr="007425F3" w14:paraId="2EA964CF" w14:textId="77777777" w:rsidTr="00742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1030" w14:textId="77777777" w:rsidR="007425F3" w:rsidRPr="007425F3" w:rsidRDefault="007425F3" w:rsidP="007425F3">
            <w:r w:rsidRPr="007425F3">
              <w:rPr>
                <w:b/>
                <w:bCs/>
              </w:rPr>
              <w:t>Adaptive Phase III</w:t>
            </w:r>
          </w:p>
        </w:tc>
        <w:tc>
          <w:tcPr>
            <w:tcW w:w="0" w:type="auto"/>
            <w:vAlign w:val="center"/>
            <w:hideMark/>
          </w:tcPr>
          <w:p w14:paraId="737EB729" w14:textId="77777777" w:rsidR="007425F3" w:rsidRPr="007425F3" w:rsidRDefault="007425F3" w:rsidP="007425F3">
            <w:r w:rsidRPr="007425F3">
              <w:t>Improve efficiency</w:t>
            </w:r>
          </w:p>
        </w:tc>
        <w:tc>
          <w:tcPr>
            <w:tcW w:w="0" w:type="auto"/>
            <w:vAlign w:val="center"/>
            <w:hideMark/>
          </w:tcPr>
          <w:p w14:paraId="5F4582CC" w14:textId="77777777" w:rsidR="007425F3" w:rsidRPr="007425F3" w:rsidRDefault="007425F3" w:rsidP="007425F3">
            <w:r w:rsidRPr="007425F3">
              <w:t>Multiple doses or populations</w:t>
            </w:r>
          </w:p>
        </w:tc>
        <w:tc>
          <w:tcPr>
            <w:tcW w:w="0" w:type="auto"/>
            <w:vAlign w:val="center"/>
            <w:hideMark/>
          </w:tcPr>
          <w:p w14:paraId="08B7C353" w14:textId="77777777" w:rsidR="007425F3" w:rsidRPr="007425F3" w:rsidRDefault="007425F3" w:rsidP="007425F3">
            <w:r w:rsidRPr="007425F3">
              <w:t>Pre-specified interim analyses and adaptations</w:t>
            </w:r>
          </w:p>
        </w:tc>
        <w:tc>
          <w:tcPr>
            <w:tcW w:w="0" w:type="auto"/>
            <w:vAlign w:val="center"/>
            <w:hideMark/>
          </w:tcPr>
          <w:p w14:paraId="0CCCFA42" w14:textId="77777777" w:rsidR="007425F3" w:rsidRPr="007425F3" w:rsidRDefault="007425F3" w:rsidP="007425F3">
            <w:r w:rsidRPr="007425F3">
              <w:rPr>
                <w:b/>
                <w:bCs/>
              </w:rPr>
              <w:t>Variable (often several hundred to &gt;1,000)</w:t>
            </w:r>
          </w:p>
        </w:tc>
      </w:tr>
      <w:tr w:rsidR="007425F3" w:rsidRPr="007425F3" w14:paraId="4A4A0AFF" w14:textId="77777777" w:rsidTr="00742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20D5" w14:textId="77777777" w:rsidR="007425F3" w:rsidRPr="007425F3" w:rsidRDefault="007425F3" w:rsidP="007425F3">
            <w:r w:rsidRPr="007425F3">
              <w:rPr>
                <w:b/>
                <w:bCs/>
              </w:rPr>
              <w:t>Phase III in Rare Diseases / Accelerated Programs</w:t>
            </w:r>
          </w:p>
        </w:tc>
        <w:tc>
          <w:tcPr>
            <w:tcW w:w="0" w:type="auto"/>
            <w:vAlign w:val="center"/>
            <w:hideMark/>
          </w:tcPr>
          <w:p w14:paraId="483157BB" w14:textId="77777777" w:rsidR="007425F3" w:rsidRPr="007425F3" w:rsidRDefault="007425F3" w:rsidP="007425F3">
            <w:r w:rsidRPr="007425F3">
              <w:t>Support registration</w:t>
            </w:r>
          </w:p>
        </w:tc>
        <w:tc>
          <w:tcPr>
            <w:tcW w:w="0" w:type="auto"/>
            <w:vAlign w:val="center"/>
            <w:hideMark/>
          </w:tcPr>
          <w:p w14:paraId="27FF7E4C" w14:textId="77777777" w:rsidR="007425F3" w:rsidRPr="007425F3" w:rsidRDefault="007425F3" w:rsidP="007425F3">
            <w:r w:rsidRPr="007425F3">
              <w:t>Limited patient population</w:t>
            </w:r>
          </w:p>
        </w:tc>
        <w:tc>
          <w:tcPr>
            <w:tcW w:w="0" w:type="auto"/>
            <w:vAlign w:val="center"/>
            <w:hideMark/>
          </w:tcPr>
          <w:p w14:paraId="0F9CE987" w14:textId="77777777" w:rsidR="007425F3" w:rsidRPr="007425F3" w:rsidRDefault="007425F3" w:rsidP="007425F3">
            <w:r w:rsidRPr="007425F3">
              <w:t>Smaller sample size with strong justification; regulatory flexibility</w:t>
            </w:r>
          </w:p>
        </w:tc>
        <w:tc>
          <w:tcPr>
            <w:tcW w:w="0" w:type="auto"/>
            <w:vAlign w:val="center"/>
            <w:hideMark/>
          </w:tcPr>
          <w:p w14:paraId="11B79133" w14:textId="77777777" w:rsidR="007425F3" w:rsidRPr="007425F3" w:rsidRDefault="007425F3" w:rsidP="007425F3">
            <w:r w:rsidRPr="007425F3">
              <w:rPr>
                <w:b/>
                <w:bCs/>
              </w:rPr>
              <w:t>100–300</w:t>
            </w:r>
          </w:p>
        </w:tc>
      </w:tr>
    </w:tbl>
    <w:p w14:paraId="7D2BBBC7" w14:textId="77777777" w:rsidR="009065E3" w:rsidRDefault="009065E3">
      <w:pPr>
        <w:rPr>
          <w:rFonts w:hint="eastAsia"/>
        </w:rPr>
      </w:pPr>
    </w:p>
    <w:sectPr w:rsidR="00906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E3"/>
    <w:rsid w:val="00011EA9"/>
    <w:rsid w:val="00100858"/>
    <w:rsid w:val="00145682"/>
    <w:rsid w:val="007425F3"/>
    <w:rsid w:val="0090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5B335"/>
  <w15:chartTrackingRefBased/>
  <w15:docId w15:val="{D7122117-7F88-423C-947D-855E265F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498</Words>
  <Characters>2840</Characters>
  <Application>Microsoft Office Word</Application>
  <DocSecurity>0</DocSecurity>
  <Lines>23</Lines>
  <Paragraphs>6</Paragraphs>
  <ScaleCrop>false</ScaleCrop>
  <Company>NICHD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2</cp:revision>
  <dcterms:created xsi:type="dcterms:W3CDTF">2026-01-22T20:11:00Z</dcterms:created>
  <dcterms:modified xsi:type="dcterms:W3CDTF">2026-01-22T20:19:00Z</dcterms:modified>
</cp:coreProperties>
</file>