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E934" w14:textId="70553287" w:rsidR="005B4A98" w:rsidRPr="005B4A98" w:rsidRDefault="005B4A98" w:rsidP="005B4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4A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Statistical Results Interpretation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513"/>
        <w:gridCol w:w="3147"/>
        <w:gridCol w:w="3083"/>
      </w:tblGrid>
      <w:tr w:rsidR="00D60C0C" w:rsidRPr="005B4A98" w14:paraId="508158A7" w14:textId="77777777" w:rsidTr="005B4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5A70" w14:textId="77777777" w:rsidR="005B4A98" w:rsidRPr="005B4A98" w:rsidRDefault="005B4A98" w:rsidP="005B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A95FC3" w14:textId="77777777" w:rsidR="005B4A98" w:rsidRPr="005B4A98" w:rsidRDefault="005B4A98" w:rsidP="005B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Statistical Method / Measure</w:t>
            </w:r>
          </w:p>
        </w:tc>
        <w:tc>
          <w:tcPr>
            <w:tcW w:w="0" w:type="auto"/>
            <w:vAlign w:val="center"/>
            <w:hideMark/>
          </w:tcPr>
          <w:p w14:paraId="43CBBD51" w14:textId="77777777" w:rsidR="005B4A98" w:rsidRPr="005B4A98" w:rsidRDefault="005B4A98" w:rsidP="005B4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Results Statement</w:t>
            </w:r>
          </w:p>
        </w:tc>
        <w:tc>
          <w:tcPr>
            <w:tcW w:w="0" w:type="auto"/>
            <w:vAlign w:val="center"/>
            <w:hideMark/>
          </w:tcPr>
          <w:p w14:paraId="7A2AA177" w14:textId="1EF9CDB4" w:rsidR="005B4A98" w:rsidRPr="005B4A98" w:rsidRDefault="005B4A98" w:rsidP="005B4A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Interpretation of the Effect Estimate</w:t>
            </w:r>
          </w:p>
        </w:tc>
      </w:tr>
      <w:tr w:rsidR="00D60C0C" w:rsidRPr="005B4A98" w14:paraId="1A7D099D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D36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14:paraId="71E54DB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± SD</w:t>
            </w:r>
          </w:p>
        </w:tc>
        <w:tc>
          <w:tcPr>
            <w:tcW w:w="0" w:type="auto"/>
            <w:vAlign w:val="center"/>
            <w:hideMark/>
          </w:tcPr>
          <w:p w14:paraId="04E2646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mean age of patients with NSCLC was 63.4 ± 9.8 years.</w:t>
            </w:r>
          </w:p>
        </w:tc>
        <w:tc>
          <w:tcPr>
            <w:tcW w:w="0" w:type="auto"/>
            <w:vAlign w:val="center"/>
            <w:hideMark/>
          </w:tcPr>
          <w:p w14:paraId="7C31B86C" w14:textId="472EFECB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average patient age was 63.4 years, with </w:t>
            </w:r>
            <w:r w:rsidR="00001B91" w:rsidRPr="0000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most individuals </w:t>
            </w:r>
            <w:r w:rsidR="00001B91"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falling within</w:t>
            </w:r>
            <w:r w:rsidR="00001B91" w:rsidRPr="00001B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approximately 10 years</w:t>
            </w:r>
            <w:r w:rsidR="00001B91">
              <w:rPr>
                <w:rFonts w:ascii="Times New Roman" w:hAnsi="Times New Roman" w:cs="Times New Roman" w:hint="eastAsia"/>
                <w:kern w:val="0"/>
                <w14:ligatures w14:val="none"/>
              </w:rPr>
              <w:t xml:space="preserve">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around the mean.</w:t>
            </w:r>
          </w:p>
        </w:tc>
      </w:tr>
      <w:tr w:rsidR="00D60C0C" w:rsidRPr="005B4A98" w14:paraId="6647ABFA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819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14:paraId="2B0712A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(IQR)</w:t>
            </w:r>
          </w:p>
        </w:tc>
        <w:tc>
          <w:tcPr>
            <w:tcW w:w="0" w:type="auto"/>
            <w:vAlign w:val="center"/>
            <w:hideMark/>
          </w:tcPr>
          <w:p w14:paraId="4962F6A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median follow-up time was 26 months (IQR: 16–41).</w:t>
            </w:r>
          </w:p>
        </w:tc>
        <w:tc>
          <w:tcPr>
            <w:tcW w:w="0" w:type="auto"/>
            <w:vAlign w:val="center"/>
            <w:hideMark/>
          </w:tcPr>
          <w:p w14:paraId="749DD6D5" w14:textId="7D539252" w:rsidR="005B4A98" w:rsidRPr="00045ACF" w:rsidRDefault="00045ACF" w:rsidP="005B4A98">
            <w:pPr>
              <w:spacing w:after="0" w:line="240" w:lineRule="auto"/>
              <w:rPr>
                <w:rFonts w:ascii="Times New Roman" w:hAnsi="Times New Roman" w:cs="Times New Roman" w:hint="eastAsia"/>
                <w:kern w:val="0"/>
                <w14:ligatures w14:val="none"/>
              </w:rPr>
            </w:pPr>
            <w:r w:rsidRPr="00045A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typical patient was followed for just over </w:t>
            </w:r>
            <w:r w:rsidR="00DF16F3"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 months</w:t>
            </w:r>
            <w:r w:rsidRPr="00045A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with </w:t>
            </w:r>
            <w:r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most patients</w:t>
            </w:r>
            <w:r w:rsidRPr="00045A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having follow-up durations between approximately 1.5 and 3.5 years.</w:t>
            </w:r>
            <w:r>
              <w:rPr>
                <w:rFonts w:ascii="Times New Roman" w:hAnsi="Times New Roman" w:cs="Times New Roman" w:hint="eastAsia"/>
                <w:kern w:val="0"/>
                <w14:ligatures w14:val="none"/>
              </w:rPr>
              <w:t xml:space="preserve"> </w:t>
            </w:r>
          </w:p>
        </w:tc>
      </w:tr>
      <w:tr w:rsidR="00D60C0C" w:rsidRPr="005B4A98" w14:paraId="59EC9452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86B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statistics</w:t>
            </w:r>
          </w:p>
        </w:tc>
        <w:tc>
          <w:tcPr>
            <w:tcW w:w="0" w:type="auto"/>
            <w:vAlign w:val="center"/>
            <w:hideMark/>
          </w:tcPr>
          <w:p w14:paraId="4446D03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(%)</w:t>
            </w:r>
          </w:p>
        </w:tc>
        <w:tc>
          <w:tcPr>
            <w:tcW w:w="0" w:type="auto"/>
            <w:vAlign w:val="center"/>
            <w:hideMark/>
          </w:tcPr>
          <w:p w14:paraId="6BAF63E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Male patients </w:t>
            </w:r>
            <w:r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accounted for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61.2% (n = 184) of the cohort.</w:t>
            </w:r>
          </w:p>
        </w:tc>
        <w:tc>
          <w:tcPr>
            <w:tcW w:w="0" w:type="auto"/>
            <w:vAlign w:val="center"/>
            <w:hideMark/>
          </w:tcPr>
          <w:p w14:paraId="4297F05A" w14:textId="72B2904D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Approximately 61</w:t>
            </w:r>
            <w:r w:rsidR="00F45DA9">
              <w:rPr>
                <w:rFonts w:ascii="Times New Roman" w:hAnsi="Times New Roman" w:cs="Times New Roman" w:hint="eastAsia"/>
                <w:kern w:val="0"/>
                <w14:ligatures w14:val="none"/>
              </w:rPr>
              <w:t xml:space="preserve">%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 in the study population were male.</w:t>
            </w:r>
          </w:p>
        </w:tc>
      </w:tr>
      <w:tr w:rsidR="00D60C0C" w:rsidRPr="005B4A98" w14:paraId="13BF34A0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EFA5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comparison</w:t>
            </w:r>
          </w:p>
        </w:tc>
        <w:tc>
          <w:tcPr>
            <w:tcW w:w="0" w:type="auto"/>
            <w:vAlign w:val="center"/>
            <w:hideMark/>
          </w:tcPr>
          <w:p w14:paraId="5FB06F5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test</w:t>
            </w:r>
          </w:p>
        </w:tc>
        <w:tc>
          <w:tcPr>
            <w:tcW w:w="0" w:type="auto"/>
            <w:vAlign w:val="center"/>
            <w:hideMark/>
          </w:tcPr>
          <w:p w14:paraId="0EAB899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 was no significant difference in age between the pembrolizumab and chemotherapy groups (63.1 ± 9.6 vs 63.8 ± 10.1 years, P = 0.47).</w:t>
            </w:r>
          </w:p>
        </w:tc>
        <w:tc>
          <w:tcPr>
            <w:tcW w:w="0" w:type="auto"/>
            <w:vAlign w:val="center"/>
            <w:hideMark/>
          </w:tcPr>
          <w:p w14:paraId="65CA0F70" w14:textId="569036A8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mean age differed by approximately 0.7 years between groups, indicating </w:t>
            </w:r>
            <w:r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similar age distributions</w:t>
            </w:r>
            <w:r w:rsidR="00AA35B6"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 comparable age</w:t>
            </w:r>
            <w:r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</w:t>
            </w:r>
            <w:r w:rsidR="00AA35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D60C0C" w:rsidRPr="005B4A98" w14:paraId="3F9A7D4F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980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comparison</w:t>
            </w:r>
          </w:p>
        </w:tc>
        <w:tc>
          <w:tcPr>
            <w:tcW w:w="0" w:type="auto"/>
            <w:vAlign w:val="center"/>
            <w:hideMark/>
          </w:tcPr>
          <w:p w14:paraId="609FC77E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χ² test</w:t>
            </w:r>
          </w:p>
        </w:tc>
        <w:tc>
          <w:tcPr>
            <w:tcW w:w="0" w:type="auto"/>
            <w:vAlign w:val="center"/>
            <w:hideMark/>
          </w:tcPr>
          <w:p w14:paraId="6CB5236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PD-L1 expression levels were comparable between the two groups (χ² = 1.82, P = 0.18).</w:t>
            </w:r>
          </w:p>
        </w:tc>
        <w:tc>
          <w:tcPr>
            <w:tcW w:w="0" w:type="auto"/>
            <w:vAlign w:val="center"/>
            <w:hideMark/>
          </w:tcPr>
          <w:p w14:paraId="7C1B550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distribution of PD-L1 expression</w:t>
            </w:r>
            <w:r w:rsidRPr="00384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categories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similar between treatment groups.</w:t>
            </w:r>
          </w:p>
        </w:tc>
      </w:tr>
      <w:tr w:rsidR="00D60C0C" w:rsidRPr="005B4A98" w14:paraId="4444EAF0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1259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outcome comparison</w:t>
            </w:r>
          </w:p>
        </w:tc>
        <w:tc>
          <w:tcPr>
            <w:tcW w:w="0" w:type="auto"/>
            <w:vAlign w:val="center"/>
            <w:hideMark/>
          </w:tcPr>
          <w:p w14:paraId="5DBAA13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difference</w:t>
            </w:r>
          </w:p>
        </w:tc>
        <w:tc>
          <w:tcPr>
            <w:tcW w:w="0" w:type="auto"/>
            <w:vAlign w:val="center"/>
            <w:hideMark/>
          </w:tcPr>
          <w:p w14:paraId="5BC7C6B8" w14:textId="6C5DF8AA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Pembrolizumab significantly </w:t>
            </w:r>
            <w:r w:rsidRPr="00E445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prolonged</w:t>
            </w:r>
            <w:r w:rsidR="006E5C52" w:rsidRPr="00E445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/increased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PFS compared with chemotherapy (8.4 vs 5.6 months; mean difference = 2.8 months, P = 0.01).</w:t>
            </w:r>
          </w:p>
        </w:tc>
        <w:tc>
          <w:tcPr>
            <w:tcW w:w="0" w:type="auto"/>
            <w:vAlign w:val="center"/>
            <w:hideMark/>
          </w:tcPr>
          <w:p w14:paraId="1A1F77D5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Compared with chemotherapy, pembrolizumab was associated with an average prolongation of PFS by 2.8 months.</w:t>
            </w:r>
          </w:p>
        </w:tc>
      </w:tr>
      <w:tr w:rsidR="00D60C0C" w:rsidRPr="005B4A98" w14:paraId="4A040F6B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DABF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outcome comparison</w:t>
            </w:r>
          </w:p>
        </w:tc>
        <w:tc>
          <w:tcPr>
            <w:tcW w:w="0" w:type="auto"/>
            <w:vAlign w:val="center"/>
            <w:hideMark/>
          </w:tcPr>
          <w:p w14:paraId="4CD597E5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</w:t>
            </w:r>
          </w:p>
        </w:tc>
        <w:tc>
          <w:tcPr>
            <w:tcW w:w="0" w:type="auto"/>
            <w:vAlign w:val="center"/>
            <w:hideMark/>
          </w:tcPr>
          <w:p w14:paraId="3931031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objective response rate was higher in the pembrolizumab group (38.5% vs 21.4%, P = 0.005).</w:t>
            </w:r>
          </w:p>
        </w:tc>
        <w:tc>
          <w:tcPr>
            <w:tcW w:w="0" w:type="auto"/>
            <w:vAlign w:val="center"/>
            <w:hideMark/>
          </w:tcPr>
          <w:p w14:paraId="285117A0" w14:textId="6C46F74D" w:rsidR="005B4A98" w:rsidRPr="005B4A98" w:rsidRDefault="006E5C52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C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Compared with chemotherapy, pembrolizumab was associated with a higher likelihood of achieving an objective response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, with an absolute difference</w:t>
            </w:r>
            <w:r w:rsidRPr="006E5C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17.1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  <w:r w:rsidRPr="006E5C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60C0C" w:rsidRPr="005B4A98" w14:paraId="086ECC11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61D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analysis</w:t>
            </w:r>
          </w:p>
        </w:tc>
        <w:tc>
          <w:tcPr>
            <w:tcW w:w="0" w:type="auto"/>
            <w:vAlign w:val="center"/>
            <w:hideMark/>
          </w:tcPr>
          <w:p w14:paraId="0D46A3D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Pearson correlation</w:t>
            </w:r>
          </w:p>
        </w:tc>
        <w:tc>
          <w:tcPr>
            <w:tcW w:w="0" w:type="auto"/>
            <w:vAlign w:val="center"/>
            <w:hideMark/>
          </w:tcPr>
          <w:p w14:paraId="6A08390F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PD-L1 expression was moderately correlated with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progression-free survival (r = 0.42, P &lt; 0.001).</w:t>
            </w:r>
          </w:p>
        </w:tc>
        <w:tc>
          <w:tcPr>
            <w:tcW w:w="0" w:type="auto"/>
            <w:vAlign w:val="center"/>
            <w:hideMark/>
          </w:tcPr>
          <w:p w14:paraId="5881D900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A correlation coefficient of 0.42 indicates a moderate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positive association, 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higher PD-L1 expression generally corresponding to longer PFS.</w:t>
            </w:r>
          </w:p>
        </w:tc>
      </w:tr>
      <w:tr w:rsidR="00D60C0C" w:rsidRPr="005B4A98" w14:paraId="2D25A390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4D5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07EE00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 (β)</w:t>
            </w:r>
          </w:p>
        </w:tc>
        <w:tc>
          <w:tcPr>
            <w:tcW w:w="0" w:type="auto"/>
            <w:vAlign w:val="center"/>
            <w:hideMark/>
          </w:tcPr>
          <w:p w14:paraId="2E65CCE1" w14:textId="77777777" w:rsidR="005B4A98" w:rsidRPr="00CD7E77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E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PD-L1 expression was associated with longer PFS (β = 0.18 months per 10% increase, 95% CI: 0.09–0.27, P &lt; 0.001).</w:t>
            </w:r>
          </w:p>
        </w:tc>
        <w:tc>
          <w:tcPr>
            <w:tcW w:w="0" w:type="auto"/>
            <w:vAlign w:val="center"/>
            <w:hideMark/>
          </w:tcPr>
          <w:p w14:paraId="1271A723" w14:textId="22E24B39" w:rsidR="005B4A98" w:rsidRPr="00CD7E77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E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β of 0.18 indicates that 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 every 10% increase</w:t>
            </w:r>
            <w:r w:rsidRPr="00CD7E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PD-L1 expression</w:t>
            </w:r>
            <w:proofErr w:type="gramStart"/>
            <w:r w:rsidRPr="00CD7E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mean</w:t>
            </w:r>
            <w:proofErr w:type="gramEnd"/>
            <w:r w:rsidRPr="00CD7E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PFS increases by approximately </w:t>
            </w:r>
            <w:r w:rsidR="003972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</w:t>
            </w:r>
            <w:r w:rsidRPr="00CD7E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months.</w:t>
            </w:r>
          </w:p>
        </w:tc>
      </w:tr>
      <w:tr w:rsidR="00D60C0C" w:rsidRPr="005B4A98" w14:paraId="1AE0AE6B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877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75A4E0D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Odds ratio (OR)</w:t>
            </w:r>
          </w:p>
        </w:tc>
        <w:tc>
          <w:tcPr>
            <w:tcW w:w="0" w:type="auto"/>
            <w:vAlign w:val="center"/>
            <w:hideMark/>
          </w:tcPr>
          <w:p w14:paraId="0E7136CC" w14:textId="6506998F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 treatment was associated with a higher likelihood of objective response</w:t>
            </w:r>
            <w:r w:rsidR="00222B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(OR = 2.32, 95% CI: 1.45–3.71, P &lt; 0.001).</w:t>
            </w:r>
          </w:p>
        </w:tc>
        <w:tc>
          <w:tcPr>
            <w:tcW w:w="0" w:type="auto"/>
            <w:vAlign w:val="center"/>
            <w:hideMark/>
          </w:tcPr>
          <w:p w14:paraId="284FDD1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OR of 2.32 indicates that the odds of achieving an objective response 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were approximately 2.3 times higher with pembrolizumab than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chemotherapy.</w:t>
            </w:r>
          </w:p>
        </w:tc>
      </w:tr>
      <w:tr w:rsidR="00D60C0C" w:rsidRPr="005B4A98" w14:paraId="756AD474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FF29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analysis</w:t>
            </w:r>
          </w:p>
        </w:tc>
        <w:tc>
          <w:tcPr>
            <w:tcW w:w="0" w:type="auto"/>
            <w:vAlign w:val="center"/>
            <w:hideMark/>
          </w:tcPr>
          <w:p w14:paraId="073C9BE5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Kaplan–Meier</w:t>
            </w:r>
          </w:p>
        </w:tc>
        <w:tc>
          <w:tcPr>
            <w:tcW w:w="0" w:type="auto"/>
            <w:vAlign w:val="center"/>
            <w:hideMark/>
          </w:tcPr>
          <w:p w14:paraId="3B35450F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Kaplan–Meier curves demonstrated improved PFS in the pembrolizumab group (median PFS: 8.4 vs 5.6 months).</w:t>
            </w:r>
          </w:p>
        </w:tc>
        <w:tc>
          <w:tcPr>
            <w:tcW w:w="0" w:type="auto"/>
            <w:vAlign w:val="center"/>
            <w:hideMark/>
          </w:tcPr>
          <w:p w14:paraId="05A7120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median time to disease progression 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 delayed by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approximately 2.8 months in the pembrolizumab group.</w:t>
            </w:r>
          </w:p>
        </w:tc>
      </w:tr>
      <w:tr w:rsidR="00D60C0C" w:rsidRPr="005B4A98" w14:paraId="38FD67B5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5E6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comparison</w:t>
            </w:r>
          </w:p>
        </w:tc>
        <w:tc>
          <w:tcPr>
            <w:tcW w:w="0" w:type="auto"/>
            <w:vAlign w:val="center"/>
            <w:hideMark/>
          </w:tcPr>
          <w:p w14:paraId="31E35D6D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Log-rank test</w:t>
            </w:r>
          </w:p>
        </w:tc>
        <w:tc>
          <w:tcPr>
            <w:tcW w:w="0" w:type="auto"/>
            <w:vAlign w:val="center"/>
            <w:hideMark/>
          </w:tcPr>
          <w:p w14:paraId="7A83E76D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 differed significantly between the two groups (log-rank P = 0.01).</w:t>
            </w:r>
          </w:p>
        </w:tc>
        <w:tc>
          <w:tcPr>
            <w:tcW w:w="0" w:type="auto"/>
            <w:vAlign w:val="center"/>
            <w:hideMark/>
          </w:tcPr>
          <w:p w14:paraId="31522FB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timing of disease 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progression over follow-up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differed between treatment groups.</w:t>
            </w:r>
          </w:p>
        </w:tc>
      </w:tr>
      <w:tr w:rsidR="00D60C0C" w:rsidRPr="005B4A98" w14:paraId="703475D8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57A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Cox regression</w:t>
            </w:r>
          </w:p>
        </w:tc>
        <w:tc>
          <w:tcPr>
            <w:tcW w:w="0" w:type="auto"/>
            <w:vAlign w:val="center"/>
            <w:hideMark/>
          </w:tcPr>
          <w:p w14:paraId="12AEA34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Hazard ratio (HR)</w:t>
            </w:r>
          </w:p>
        </w:tc>
        <w:tc>
          <w:tcPr>
            <w:tcW w:w="0" w:type="auto"/>
            <w:vAlign w:val="center"/>
            <w:hideMark/>
          </w:tcPr>
          <w:p w14:paraId="50BA3135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 significantly reduced the risk of disease progression (HR = 0.65, 95% CI: 0.48–0.88, P = 0.004).</w:t>
            </w:r>
          </w:p>
        </w:tc>
        <w:tc>
          <w:tcPr>
            <w:tcW w:w="0" w:type="auto"/>
            <w:vAlign w:val="center"/>
            <w:hideMark/>
          </w:tcPr>
          <w:p w14:paraId="11FE9F5D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HR of 0.65 indicates that, at any given time point, the risk of disease progression was </w:t>
            </w: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approximately 35% lower with pembrolizumab.</w:t>
            </w:r>
          </w:p>
        </w:tc>
      </w:tr>
      <w:tr w:rsidR="00D60C0C" w:rsidRPr="005B4A98" w14:paraId="1730D1FB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CF1D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Multivariable analysis</w:t>
            </w:r>
          </w:p>
        </w:tc>
        <w:tc>
          <w:tcPr>
            <w:tcW w:w="0" w:type="auto"/>
            <w:vAlign w:val="center"/>
            <w:hideMark/>
          </w:tcPr>
          <w:p w14:paraId="52AB57E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Adjusted Cox model</w:t>
            </w:r>
          </w:p>
        </w:tc>
        <w:tc>
          <w:tcPr>
            <w:tcW w:w="0" w:type="auto"/>
            <w:vAlign w:val="center"/>
            <w:hideMark/>
          </w:tcPr>
          <w:p w14:paraId="12577CD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 remained an independent protective factor after adjustment (adjusted HR = 0.68, 95% CI: 0.51–0.90, P = 0.01).</w:t>
            </w:r>
          </w:p>
        </w:tc>
        <w:tc>
          <w:tcPr>
            <w:tcW w:w="0" w:type="auto"/>
            <w:vAlign w:val="center"/>
            <w:hideMark/>
          </w:tcPr>
          <w:p w14:paraId="415C90EE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 adjustment for covariates,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risk of disease progression remained approximately 32% lower in the pembrolizumab group.</w:t>
            </w:r>
          </w:p>
        </w:tc>
      </w:tr>
      <w:tr w:rsidR="00D60C0C" w:rsidRPr="005B4A98" w14:paraId="466CF231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43A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Subgroup analysis</w:t>
            </w:r>
          </w:p>
        </w:tc>
        <w:tc>
          <w:tcPr>
            <w:tcW w:w="0" w:type="auto"/>
            <w:vAlign w:val="center"/>
            <w:hideMark/>
          </w:tcPr>
          <w:p w14:paraId="23D443B9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Subgroup analysis</w:t>
            </w:r>
          </w:p>
        </w:tc>
        <w:tc>
          <w:tcPr>
            <w:tcW w:w="0" w:type="auto"/>
            <w:vAlign w:val="center"/>
            <w:hideMark/>
          </w:tcPr>
          <w:p w14:paraId="2136D2D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PFS benefit was observed across PD-L1 subgroups (P for interaction = 0.41).</w:t>
            </w:r>
          </w:p>
        </w:tc>
        <w:tc>
          <w:tcPr>
            <w:tcW w:w="0" w:type="auto"/>
            <w:vAlign w:val="center"/>
            <w:hideMark/>
          </w:tcPr>
          <w:p w14:paraId="4F42881F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68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Similar magnitudes of risk reduction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were observed across PD-L1 subgroups.</w:t>
            </w:r>
          </w:p>
        </w:tc>
      </w:tr>
      <w:tr w:rsidR="00D60C0C" w:rsidRPr="005B4A98" w14:paraId="12AFAE3B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0EF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Interaction analysis</w:t>
            </w:r>
          </w:p>
        </w:tc>
        <w:tc>
          <w:tcPr>
            <w:tcW w:w="0" w:type="auto"/>
            <w:vAlign w:val="center"/>
            <w:hideMark/>
          </w:tcPr>
          <w:p w14:paraId="370F6A1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Interaction test</w:t>
            </w:r>
          </w:p>
        </w:tc>
        <w:tc>
          <w:tcPr>
            <w:tcW w:w="0" w:type="auto"/>
            <w:vAlign w:val="center"/>
            <w:hideMark/>
          </w:tcPr>
          <w:p w14:paraId="65666D1E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5C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significant interaction was observed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between treatment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and PD-L1 expression (P for interaction = 0.41).</w:t>
            </w:r>
          </w:p>
        </w:tc>
        <w:tc>
          <w:tcPr>
            <w:tcW w:w="0" w:type="auto"/>
            <w:vAlign w:val="center"/>
            <w:hideMark/>
          </w:tcPr>
          <w:p w14:paraId="2574F38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The effect size of pembrolizumab did not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meaningfully differ </w:t>
            </w:r>
            <w:r w:rsidRPr="00735C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across PD-L1 levels.</w:t>
            </w:r>
          </w:p>
        </w:tc>
      </w:tr>
      <w:tr w:rsidR="00D60C0C" w:rsidRPr="005B4A98" w14:paraId="15CB376A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D0A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5840212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2F44E5D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remained robust after excluding patients with follow-up &lt; 3 months (HR range: 0.62–0.70).</w:t>
            </w:r>
          </w:p>
        </w:tc>
        <w:tc>
          <w:tcPr>
            <w:tcW w:w="0" w:type="auto"/>
            <w:vAlign w:val="center"/>
            <w:hideMark/>
          </w:tcPr>
          <w:p w14:paraId="0132D2B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Across sensitivity analyses, the estimated reduction in progression risk </w:t>
            </w:r>
            <w:r w:rsidRPr="00386D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ranged from approximately 30% to 38%.</w:t>
            </w:r>
          </w:p>
        </w:tc>
      </w:tr>
      <w:tr w:rsidR="00D60C0C" w:rsidRPr="005B4A98" w14:paraId="1AA74179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8B1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Non-significant result</w:t>
            </w:r>
          </w:p>
        </w:tc>
        <w:tc>
          <w:tcPr>
            <w:tcW w:w="0" w:type="auto"/>
            <w:vAlign w:val="center"/>
            <w:hideMark/>
          </w:tcPr>
          <w:p w14:paraId="5EF8DAEF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Non-significant result</w:t>
            </w:r>
          </w:p>
        </w:tc>
        <w:tc>
          <w:tcPr>
            <w:tcW w:w="0" w:type="auto"/>
            <w:vAlign w:val="center"/>
            <w:hideMark/>
          </w:tcPr>
          <w:p w14:paraId="0BF3FD86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was longer in the pembrolizumab group but not statistically significant (HR = 0.82, 95% CI: 0.64–1.05, P = 0.09).</w:t>
            </w:r>
          </w:p>
        </w:tc>
        <w:tc>
          <w:tcPr>
            <w:tcW w:w="0" w:type="auto"/>
            <w:vAlign w:val="center"/>
            <w:hideMark/>
          </w:tcPr>
          <w:p w14:paraId="2A51AEAF" w14:textId="0B222BCA" w:rsidR="005B4A98" w:rsidRPr="005B4A98" w:rsidRDefault="00D60C0C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C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Pembrolizumab was associated with a lower estimated risk of death (HR = 0.82), but </w:t>
            </w:r>
            <w:r w:rsidRPr="00386D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the confidence interval included </w:t>
            </w:r>
            <w:proofErr w:type="gramStart"/>
            <w:r w:rsidRPr="00386D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unity</w:t>
            </w:r>
            <w:proofErr w:type="gramEnd"/>
            <w:r w:rsidRPr="00386D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and the difference did not reach statistical significance.</w:t>
            </w:r>
          </w:p>
        </w:tc>
      </w:tr>
      <w:tr w:rsidR="00D60C0C" w:rsidRPr="005B4A98" w14:paraId="39DECFCC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86E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734E9AB0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2991452E" w14:textId="15582768" w:rsidR="00386DFD" w:rsidRPr="00386DFD" w:rsidRDefault="00386DFD" w:rsidP="005B4A98">
            <w:pPr>
              <w:spacing w:after="0" w:line="240" w:lineRule="auto"/>
              <w:rPr>
                <w:rFonts w:ascii="Times New Roman" w:hAnsi="Times New Roman" w:cs="Times New Roman" w:hint="eastAsia"/>
                <w:kern w:val="0"/>
                <w14:ligatures w14:val="none"/>
              </w:rPr>
            </w:pPr>
            <w:r w:rsidRPr="00386DF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 trend toward improved overall survival</w:t>
            </w:r>
            <w:r w:rsidRPr="00386DFD">
              <w:rPr>
                <w:rFonts w:ascii="Times New Roman" w:hAnsi="Times New Roman" w:cs="Times New Roman"/>
                <w:kern w:val="0"/>
                <w14:ligatures w14:val="none"/>
              </w:rPr>
              <w:t xml:space="preserve"> was observed in the pembrolizumab group compared with the control group (median OS: 20.1 vs 17.3 months).</w:t>
            </w:r>
          </w:p>
        </w:tc>
        <w:tc>
          <w:tcPr>
            <w:tcW w:w="0" w:type="auto"/>
            <w:vAlign w:val="center"/>
            <w:hideMark/>
          </w:tcPr>
          <w:p w14:paraId="4517B746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median overall survival was prolonged by approximately 2.8 months.</w:t>
            </w:r>
          </w:p>
        </w:tc>
      </w:tr>
      <w:tr w:rsidR="00D60C0C" w:rsidRPr="005B4A98" w14:paraId="2DC6AAF9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970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 summary</w:t>
            </w:r>
          </w:p>
        </w:tc>
        <w:tc>
          <w:tcPr>
            <w:tcW w:w="0" w:type="auto"/>
            <w:vAlign w:val="center"/>
            <w:hideMark/>
          </w:tcPr>
          <w:p w14:paraId="4A6BEFA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Effect </w:t>
            </w:r>
            <w:proofErr w:type="gramStart"/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5E84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 demonstrated a clinically meaningful treatment effect (HR &lt; 1 with a narrow 95% CI).</w:t>
            </w:r>
          </w:p>
        </w:tc>
        <w:tc>
          <w:tcPr>
            <w:tcW w:w="0" w:type="auto"/>
            <w:vAlign w:val="center"/>
            <w:hideMark/>
          </w:tcPr>
          <w:p w14:paraId="0E3BF8DB" w14:textId="494A0D9D" w:rsidR="005B4A98" w:rsidRPr="005B4A98" w:rsidRDefault="0092751D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75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HR below 1 </w:t>
            </w:r>
            <w:r w:rsidRPr="00B111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a relatively narrow confidence interval</w:t>
            </w:r>
            <w:r w:rsidRPr="009275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suggests a stable estimate of reduced progression risk.</w:t>
            </w:r>
          </w:p>
        </w:tc>
      </w:tr>
      <w:tr w:rsidR="00D60C0C" w:rsidRPr="005B4A98" w14:paraId="38F88EEF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DBE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Adjusted summary</w:t>
            </w:r>
          </w:p>
        </w:tc>
        <w:tc>
          <w:tcPr>
            <w:tcW w:w="0" w:type="auto"/>
            <w:vAlign w:val="center"/>
            <w:hideMark/>
          </w:tcPr>
          <w:p w14:paraId="5E956D9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Multivariable model</w:t>
            </w:r>
          </w:p>
        </w:tc>
        <w:tc>
          <w:tcPr>
            <w:tcW w:w="0" w:type="auto"/>
            <w:vAlign w:val="center"/>
            <w:hideMark/>
          </w:tcPr>
          <w:p w14:paraId="259A9A7E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 was independently associated with improved outcomes after adjustment (P &lt; 0.05).</w:t>
            </w:r>
          </w:p>
        </w:tc>
        <w:tc>
          <w:tcPr>
            <w:tcW w:w="0" w:type="auto"/>
            <w:vAlign w:val="center"/>
            <w:hideMark/>
          </w:tcPr>
          <w:p w14:paraId="37259CAE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estimated treatment effect </w:t>
            </w:r>
            <w:r w:rsidRPr="00B111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remained statistically different from the null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after covariate adjustment.</w:t>
            </w:r>
          </w:p>
        </w:tc>
      </w:tr>
      <w:tr w:rsidR="005643A9" w:rsidRPr="005B4A98" w14:paraId="6E90DBE6" w14:textId="77777777" w:rsidTr="005B4A98">
        <w:trPr>
          <w:tblCellSpacing w:w="15" w:type="dxa"/>
        </w:trPr>
        <w:tc>
          <w:tcPr>
            <w:tcW w:w="0" w:type="auto"/>
            <w:vAlign w:val="center"/>
          </w:tcPr>
          <w:p w14:paraId="44172E14" w14:textId="77777777" w:rsidR="005643A9" w:rsidRPr="005B4A98" w:rsidRDefault="005643A9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84F93D3" w14:textId="77777777" w:rsidR="005643A9" w:rsidRPr="005B4A98" w:rsidRDefault="005643A9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FE6E856" w14:textId="49BFAB2B" w:rsidR="005643A9" w:rsidRPr="005B4A98" w:rsidRDefault="0092751D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86BE72F" w14:textId="77777777" w:rsidR="005643A9" w:rsidRPr="005B4A98" w:rsidRDefault="005643A9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60C0C" w:rsidRPr="005B4A98" w14:paraId="51CFE9AB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4AD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comparison</w:t>
            </w:r>
          </w:p>
        </w:tc>
        <w:tc>
          <w:tcPr>
            <w:tcW w:w="0" w:type="auto"/>
            <w:vAlign w:val="center"/>
            <w:hideMark/>
          </w:tcPr>
          <w:p w14:paraId="649479D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Risk (RR)</w:t>
            </w:r>
          </w:p>
        </w:tc>
        <w:tc>
          <w:tcPr>
            <w:tcW w:w="0" w:type="auto"/>
            <w:vAlign w:val="center"/>
            <w:hideMark/>
          </w:tcPr>
          <w:p w14:paraId="2F13157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Pembrolizumab reduced the risk of disease progression </w:t>
            </w:r>
            <w:r w:rsidRPr="00C80B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compared with chemotherapy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(RR = 0.72, 95% CI: 0.60–0.86).</w:t>
            </w:r>
          </w:p>
        </w:tc>
        <w:tc>
          <w:tcPr>
            <w:tcW w:w="0" w:type="auto"/>
            <w:vAlign w:val="center"/>
            <w:hideMark/>
          </w:tcPr>
          <w:p w14:paraId="0A2BEA80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RR of 0.72 indicates that the probability of disease progression </w:t>
            </w:r>
            <w:r w:rsidRPr="00C80B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 approximately 72% of that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observed with chemotherapy.</w:t>
            </w:r>
          </w:p>
        </w:tc>
      </w:tr>
      <w:tr w:rsidR="00D60C0C" w:rsidRPr="005B4A98" w14:paraId="3285786A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35A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difference</w:t>
            </w:r>
          </w:p>
        </w:tc>
        <w:tc>
          <w:tcPr>
            <w:tcW w:w="0" w:type="auto"/>
            <w:vAlign w:val="center"/>
            <w:hideMark/>
          </w:tcPr>
          <w:p w14:paraId="43CB8DD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 risk difference</w:t>
            </w:r>
          </w:p>
        </w:tc>
        <w:tc>
          <w:tcPr>
            <w:tcW w:w="0" w:type="auto"/>
            <w:vAlign w:val="center"/>
            <w:hideMark/>
          </w:tcPr>
          <w:p w14:paraId="730DCEE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absolute risk of progression was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18% lower in the pembrolizumab group.</w:t>
            </w:r>
          </w:p>
        </w:tc>
        <w:tc>
          <w:tcPr>
            <w:tcW w:w="0" w:type="auto"/>
            <w:vAlign w:val="center"/>
            <w:hideMark/>
          </w:tcPr>
          <w:p w14:paraId="73C6F3D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 of every 100 patients treated, approximately 18 fewer experienced disease progression.</w:t>
            </w:r>
          </w:p>
        </w:tc>
      </w:tr>
      <w:tr w:rsidR="00D60C0C" w:rsidRPr="005B4A98" w14:paraId="45068110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575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Clinical relevance</w:t>
            </w:r>
          </w:p>
        </w:tc>
        <w:tc>
          <w:tcPr>
            <w:tcW w:w="0" w:type="auto"/>
            <w:vAlign w:val="center"/>
            <w:hideMark/>
          </w:tcPr>
          <w:p w14:paraId="7548A6D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Needed to Treat (NNT)</w:t>
            </w:r>
          </w:p>
        </w:tc>
        <w:tc>
          <w:tcPr>
            <w:tcW w:w="0" w:type="auto"/>
            <w:vAlign w:val="center"/>
            <w:hideMark/>
          </w:tcPr>
          <w:p w14:paraId="7F350760" w14:textId="20C1C40A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NNT</w:t>
            </w:r>
            <w:r w:rsidR="001E42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6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prevent one progression event was 6.</w:t>
            </w:r>
          </w:p>
        </w:tc>
        <w:tc>
          <w:tcPr>
            <w:tcW w:w="0" w:type="auto"/>
            <w:vAlign w:val="center"/>
            <w:hideMark/>
          </w:tcPr>
          <w:p w14:paraId="3068F186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average, treating 6 patients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prevents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one additional progression event.</w:t>
            </w:r>
          </w:p>
        </w:tc>
      </w:tr>
      <w:tr w:rsidR="00D60C0C" w:rsidRPr="005B4A98" w14:paraId="2E0D11F4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256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analysis</w:t>
            </w:r>
          </w:p>
        </w:tc>
        <w:tc>
          <w:tcPr>
            <w:tcW w:w="0" w:type="auto"/>
            <w:vAlign w:val="center"/>
            <w:hideMark/>
          </w:tcPr>
          <w:p w14:paraId="72B25535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RMST difference</w:t>
            </w:r>
          </w:p>
        </w:tc>
        <w:tc>
          <w:tcPr>
            <w:tcW w:w="0" w:type="auto"/>
            <w:vAlign w:val="center"/>
            <w:hideMark/>
          </w:tcPr>
          <w:p w14:paraId="3E7BBC34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RMST over 24 months</w:t>
            </w:r>
            <w:proofErr w:type="gramEnd"/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longer in the pembrolizumab group (difference = 1.9 months, P = 0.02).</w:t>
            </w:r>
          </w:p>
        </w:tc>
        <w:tc>
          <w:tcPr>
            <w:tcW w:w="0" w:type="auto"/>
            <w:vAlign w:val="center"/>
            <w:hideMark/>
          </w:tcPr>
          <w:p w14:paraId="2BEFEABD" w14:textId="22883CC0" w:rsidR="005B4A98" w:rsidRPr="005B4A98" w:rsidRDefault="00CB067F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0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Within the first 24 months of follow-up, patients treated with pembrolizumab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experienced, on average, approximately 1.9 additional months </w:t>
            </w:r>
            <w:r w:rsidRPr="00CB0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without progression compared with those receiving chemotherapy.</w:t>
            </w:r>
          </w:p>
        </w:tc>
      </w:tr>
      <w:tr w:rsidR="00D60C0C" w:rsidRPr="005B4A98" w14:paraId="08846E4E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877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frequency</w:t>
            </w:r>
          </w:p>
        </w:tc>
        <w:tc>
          <w:tcPr>
            <w:tcW w:w="0" w:type="auto"/>
            <w:vAlign w:val="center"/>
            <w:hideMark/>
          </w:tcPr>
          <w:p w14:paraId="4C36F708" w14:textId="552C14E2" w:rsidR="005B4A98" w:rsidRPr="005B4A98" w:rsidRDefault="00F90CCC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cumulative </w:t>
            </w:r>
            <w:r w:rsidRPr="00F90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Incidence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AFC6D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Disease progression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occurred in 42.3%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pembrolizumab group versus 58.1% of controls.</w:t>
            </w:r>
          </w:p>
        </w:tc>
        <w:tc>
          <w:tcPr>
            <w:tcW w:w="0" w:type="auto"/>
            <w:vAlign w:val="center"/>
            <w:hideMark/>
          </w:tcPr>
          <w:p w14:paraId="396C3D9C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cumulative proportion of patients experiencing progression was reduced by approximately 15.8 percentage points.</w:t>
            </w:r>
          </w:p>
        </w:tc>
      </w:tr>
      <w:tr w:rsidR="00F90CCC" w:rsidRPr="005B4A98" w14:paraId="4E877055" w14:textId="77777777" w:rsidTr="008A701C">
        <w:trPr>
          <w:tblCellSpacing w:w="15" w:type="dxa"/>
        </w:trPr>
        <w:tc>
          <w:tcPr>
            <w:tcW w:w="0" w:type="auto"/>
            <w:vAlign w:val="center"/>
          </w:tcPr>
          <w:p w14:paraId="3990BA26" w14:textId="3AAB610C" w:rsidR="00F90CCC" w:rsidRPr="005B4A98" w:rsidRDefault="00F90CCC" w:rsidP="00F90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Event </w:t>
            </w:r>
            <w:r w:rsidRPr="00F90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</w:t>
            </w:r>
          </w:p>
        </w:tc>
        <w:tc>
          <w:tcPr>
            <w:tcW w:w="0" w:type="auto"/>
            <w:vAlign w:val="center"/>
          </w:tcPr>
          <w:p w14:paraId="00422165" w14:textId="210AA9D9" w:rsidR="00F90CCC" w:rsidRPr="005B4A98" w:rsidRDefault="00F90CCC" w:rsidP="00F90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0C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Incidence rate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2"/>
            </w:tblGrid>
            <w:tr w:rsidR="00F90CCC" w:rsidRPr="00F90CCC" w14:paraId="67D3C680" w14:textId="77777777" w:rsidTr="00A41B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44263" w14:textId="77777777" w:rsidR="00F90CCC" w:rsidRPr="00F90CCC" w:rsidRDefault="00F90CCC" w:rsidP="00F90C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90CC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incidence rate of disease progression was 0.32 events per person-year in the pembrolizumab group compared with 0.48 events per person-year in the control group.</w:t>
                  </w:r>
                </w:p>
              </w:tc>
            </w:tr>
          </w:tbl>
          <w:p w14:paraId="0407CE27" w14:textId="200EF546" w:rsidR="00F90CCC" w:rsidRPr="005B4A98" w:rsidRDefault="00F90CCC" w:rsidP="00F90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4"/>
            </w:tblGrid>
            <w:tr w:rsidR="00F90CCC" w:rsidRPr="00F90CCC" w14:paraId="227B4E11" w14:textId="77777777" w:rsidTr="00A41B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72217B" w14:textId="77777777" w:rsidR="00F90CCC" w:rsidRPr="00F90CCC" w:rsidRDefault="00F90CCC" w:rsidP="00F90CCC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90CC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The incidence rate of disease progression was 0.32 events per person-year in the pembrolizumab group compared with 0.48 events per person-year in the control group.</w:t>
                  </w:r>
                </w:p>
              </w:tc>
            </w:tr>
          </w:tbl>
          <w:p w14:paraId="3A7C52F6" w14:textId="42730420" w:rsidR="00F90CCC" w:rsidRPr="005B4A98" w:rsidRDefault="00F90CCC" w:rsidP="00F90C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60C0C" w:rsidRPr="005B4A98" w14:paraId="188FEBE3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57A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model</w:t>
            </w:r>
          </w:p>
        </w:tc>
        <w:tc>
          <w:tcPr>
            <w:tcW w:w="0" w:type="auto"/>
            <w:vAlign w:val="center"/>
            <w:hideMark/>
          </w:tcPr>
          <w:p w14:paraId="1896F5FD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7267A25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linear regression model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explained 32% of the variance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PFS (R² = 0.32).</w:t>
            </w:r>
          </w:p>
        </w:tc>
        <w:tc>
          <w:tcPr>
            <w:tcW w:w="0" w:type="auto"/>
            <w:vAlign w:val="center"/>
            <w:hideMark/>
          </w:tcPr>
          <w:p w14:paraId="0CCC66C9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32% of the variability in PFS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 accounted for by the variables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included in the model.</w:t>
            </w:r>
          </w:p>
        </w:tc>
      </w:tr>
      <w:tr w:rsidR="00D60C0C" w:rsidRPr="005B4A98" w14:paraId="1575C85C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2626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discrimination</w:t>
            </w:r>
          </w:p>
        </w:tc>
        <w:tc>
          <w:tcPr>
            <w:tcW w:w="0" w:type="auto"/>
            <w:vAlign w:val="center"/>
            <w:hideMark/>
          </w:tcPr>
          <w:p w14:paraId="4B1972F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C-</w:t>
            </w:r>
            <w:proofErr w:type="gramStart"/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</w:t>
            </w:r>
            <w:proofErr w:type="gramEnd"/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AUC</w:t>
            </w:r>
          </w:p>
        </w:tc>
        <w:tc>
          <w:tcPr>
            <w:tcW w:w="0" w:type="auto"/>
            <w:vAlign w:val="center"/>
            <w:hideMark/>
          </w:tcPr>
          <w:p w14:paraId="2A5C74E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model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demonstrated good discrimination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(C-statistic = 0.74).</w:t>
            </w:r>
          </w:p>
        </w:tc>
        <w:tc>
          <w:tcPr>
            <w:tcW w:w="0" w:type="auto"/>
            <w:vAlign w:val="center"/>
            <w:hideMark/>
          </w:tcPr>
          <w:p w14:paraId="37FD8F7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C-statistic of 0.74 indicates a 74% probability of correctly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distinguishing between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patients with and without progression.</w:t>
            </w:r>
          </w:p>
        </w:tc>
      </w:tr>
      <w:tr w:rsidR="00D60C0C" w:rsidRPr="005B4A98" w14:paraId="5CA6A4BB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3C20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6BD37522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Error (SE)</w:t>
            </w:r>
          </w:p>
        </w:tc>
        <w:tc>
          <w:tcPr>
            <w:tcW w:w="0" w:type="auto"/>
            <w:vAlign w:val="center"/>
            <w:hideMark/>
          </w:tcPr>
          <w:p w14:paraId="2A418D9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estimated mean difference had an SE of 0.6 months.</w:t>
            </w:r>
          </w:p>
        </w:tc>
        <w:tc>
          <w:tcPr>
            <w:tcW w:w="0" w:type="auto"/>
            <w:vAlign w:val="center"/>
            <w:hideMark/>
          </w:tcPr>
          <w:p w14:paraId="2FE0C30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sampling variability of the estimated mean difference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approximately ±0.6 months.</w:t>
            </w:r>
          </w:p>
        </w:tc>
      </w:tr>
      <w:tr w:rsidR="00D60C0C" w:rsidRPr="005B4A98" w14:paraId="28086CFA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74D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2C3082CB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E-value</w:t>
            </w:r>
          </w:p>
        </w:tc>
        <w:tc>
          <w:tcPr>
            <w:tcW w:w="0" w:type="auto"/>
            <w:vAlign w:val="center"/>
            <w:hideMark/>
          </w:tcPr>
          <w:p w14:paraId="5C166BCE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E-value for the observed HR was 2.1.</w:t>
            </w:r>
          </w:p>
        </w:tc>
        <w:tc>
          <w:tcPr>
            <w:tcW w:w="0" w:type="auto"/>
            <w:vAlign w:val="center"/>
            <w:hideMark/>
          </w:tcPr>
          <w:p w14:paraId="63329EF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 unmeasured confounder would need to be associated 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with both treatment and outcome by a risk ratio of approximately 2.1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fully explain the observed effect.</w:t>
            </w:r>
          </w:p>
        </w:tc>
      </w:tr>
      <w:tr w:rsidR="00D60C0C" w:rsidRPr="005B4A98" w14:paraId="42BE3733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7C19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Multiple comparison</w:t>
            </w:r>
          </w:p>
        </w:tc>
        <w:tc>
          <w:tcPr>
            <w:tcW w:w="0" w:type="auto"/>
            <w:vAlign w:val="center"/>
            <w:hideMark/>
          </w:tcPr>
          <w:p w14:paraId="2C2ABDA6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Adjusted P value</w:t>
            </w:r>
          </w:p>
        </w:tc>
        <w:tc>
          <w:tcPr>
            <w:tcW w:w="0" w:type="auto"/>
            <w:vAlign w:val="center"/>
            <w:hideMark/>
          </w:tcPr>
          <w:p w14:paraId="7EBA58BA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association remained significant after multiplicity adjustment (adjusted P = 0.03).</w:t>
            </w:r>
          </w:p>
        </w:tc>
        <w:tc>
          <w:tcPr>
            <w:tcW w:w="0" w:type="auto"/>
            <w:vAlign w:val="center"/>
            <w:hideMark/>
          </w:tcPr>
          <w:p w14:paraId="4DEAC617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effect estimate remained statistically distinguishable from the null after correction for multiple testing.</w:t>
            </w:r>
          </w:p>
        </w:tc>
      </w:tr>
      <w:tr w:rsidR="00D60C0C" w:rsidRPr="005B4A98" w14:paraId="4A361909" w14:textId="77777777" w:rsidTr="005B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670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assumption</w:t>
            </w:r>
          </w:p>
        </w:tc>
        <w:tc>
          <w:tcPr>
            <w:tcW w:w="0" w:type="auto"/>
            <w:vAlign w:val="center"/>
            <w:hideMark/>
          </w:tcPr>
          <w:p w14:paraId="58749C81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 assumption test</w:t>
            </w:r>
          </w:p>
        </w:tc>
        <w:tc>
          <w:tcPr>
            <w:tcW w:w="0" w:type="auto"/>
            <w:vAlign w:val="center"/>
            <w:hideMark/>
          </w:tcPr>
          <w:p w14:paraId="0CA4E678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proportional hazards assumption </w:t>
            </w:r>
            <w:r w:rsidRPr="004000F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was not violated</w:t>
            </w: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 = 0.62).</w:t>
            </w:r>
          </w:p>
        </w:tc>
        <w:tc>
          <w:tcPr>
            <w:tcW w:w="0" w:type="auto"/>
            <w:vAlign w:val="center"/>
            <w:hideMark/>
          </w:tcPr>
          <w:p w14:paraId="2D2A48C3" w14:textId="77777777" w:rsidR="005B4A98" w:rsidRPr="005B4A98" w:rsidRDefault="005B4A98" w:rsidP="005B4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4A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hazard ratio can be reasonably interpreted as approximately constant over time.</w:t>
            </w:r>
          </w:p>
        </w:tc>
      </w:tr>
    </w:tbl>
    <w:p w14:paraId="2BDD851E" w14:textId="75B7A188" w:rsidR="005A0821" w:rsidRDefault="005A0821" w:rsidP="005B4A98"/>
    <w:p w14:paraId="20BCC6B5" w14:textId="77777777" w:rsidR="005A0821" w:rsidRDefault="005A0821">
      <w:r>
        <w:br w:type="page"/>
      </w:r>
    </w:p>
    <w:p w14:paraId="29321C7C" w14:textId="1CC8FAC8" w:rsidR="005A0821" w:rsidRPr="005A0821" w:rsidRDefault="005A0821" w:rsidP="005A0821">
      <w:pPr>
        <w:rPr>
          <w:b/>
          <w:bCs/>
        </w:rPr>
      </w:pPr>
      <w:r w:rsidRPr="005A0821">
        <w:rPr>
          <w:b/>
          <w:bCs/>
        </w:rPr>
        <w:lastRenderedPageBreak/>
        <w:t xml:space="preserve">Results Section · Commonly Used Phrase </w:t>
      </w:r>
    </w:p>
    <w:p w14:paraId="576E109D" w14:textId="77777777" w:rsidR="005A0821" w:rsidRPr="005A0821" w:rsidRDefault="00000000" w:rsidP="005A0821">
      <w:r>
        <w:pict w14:anchorId="31E6F1FA">
          <v:rect id="_x0000_i1025" style="width:0;height:1.5pt" o:hralign="center" o:hrstd="t" o:hr="t" fillcolor="#a0a0a0" stroked="f"/>
        </w:pict>
      </w:r>
    </w:p>
    <w:p w14:paraId="34804855" w14:textId="77777777" w:rsidR="005A0821" w:rsidRPr="004000F0" w:rsidRDefault="005A0821" w:rsidP="005A0821">
      <w:r w:rsidRPr="004000F0">
        <w:t>I. Study Population and Baseline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470"/>
      </w:tblGrid>
      <w:tr w:rsidR="005A0821" w:rsidRPr="004000F0" w14:paraId="123C3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3A192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613A3CD2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276E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D652" w14:textId="77777777" w:rsidR="005A0821" w:rsidRPr="004000F0" w:rsidRDefault="005A0821" w:rsidP="005A0821">
            <w:r w:rsidRPr="004000F0"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2C17C861" w14:textId="77777777" w:rsidR="005A0821" w:rsidRPr="004000F0" w:rsidRDefault="005A0821" w:rsidP="005A0821">
            <w:r w:rsidRPr="00937DE3">
              <w:rPr>
                <w:b/>
                <w:bCs/>
              </w:rPr>
              <w:t>A total of 302 patients with</w:t>
            </w:r>
            <w:r w:rsidRPr="004000F0">
              <w:t xml:space="preserve"> non–small cell lung cancer </w:t>
            </w:r>
            <w:proofErr w:type="gramStart"/>
            <w:r w:rsidRPr="004000F0">
              <w:t>were</w:t>
            </w:r>
            <w:proofErr w:type="gramEnd"/>
            <w:r w:rsidRPr="004000F0">
              <w:t xml:space="preserve"> included, </w:t>
            </w:r>
            <w:r w:rsidRPr="00BB4985">
              <w:rPr>
                <w:b/>
                <w:bCs/>
              </w:rPr>
              <w:t>of whom</w:t>
            </w:r>
            <w:r w:rsidRPr="004000F0">
              <w:t xml:space="preserve"> 156 received pembrolizumab.</w:t>
            </w:r>
          </w:p>
        </w:tc>
      </w:tr>
      <w:tr w:rsidR="005A0821" w:rsidRPr="004000F0" w14:paraId="1E7F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2C21" w14:textId="77777777" w:rsidR="005A0821" w:rsidRPr="004000F0" w:rsidRDefault="005A0821" w:rsidP="005A0821">
            <w:r w:rsidRPr="004000F0">
              <w:t>Baseline comparability</w:t>
            </w:r>
          </w:p>
        </w:tc>
        <w:tc>
          <w:tcPr>
            <w:tcW w:w="0" w:type="auto"/>
            <w:vAlign w:val="center"/>
            <w:hideMark/>
          </w:tcPr>
          <w:p w14:paraId="0727D76B" w14:textId="77777777" w:rsidR="005A0821" w:rsidRPr="004000F0" w:rsidRDefault="005A0821" w:rsidP="005A0821">
            <w:r w:rsidRPr="004000F0">
              <w:t xml:space="preserve">No statistically significant differences were observed between the two groups </w:t>
            </w:r>
            <w:r w:rsidRPr="00BB4985">
              <w:rPr>
                <w:b/>
                <w:bCs/>
              </w:rPr>
              <w:t>with respect to</w:t>
            </w:r>
            <w:r w:rsidRPr="004000F0">
              <w:t xml:space="preserve"> </w:t>
            </w:r>
            <w:r w:rsidRPr="00937DE3">
              <w:rPr>
                <w:b/>
                <w:bCs/>
              </w:rPr>
              <w:t>age, sex</w:t>
            </w:r>
            <w:r w:rsidRPr="004000F0">
              <w:t>, disease stage, or smoking status.</w:t>
            </w:r>
          </w:p>
        </w:tc>
      </w:tr>
      <w:tr w:rsidR="005A0821" w:rsidRPr="004000F0" w14:paraId="2063B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FF96" w14:textId="77777777" w:rsidR="005A0821" w:rsidRPr="004000F0" w:rsidRDefault="005A0821" w:rsidP="005A0821">
            <w:r w:rsidRPr="004000F0">
              <w:t>Baseline imbalance</w:t>
            </w:r>
          </w:p>
        </w:tc>
        <w:tc>
          <w:tcPr>
            <w:tcW w:w="0" w:type="auto"/>
            <w:vAlign w:val="center"/>
            <w:hideMark/>
          </w:tcPr>
          <w:p w14:paraId="5FCEECEA" w14:textId="77777777" w:rsidR="005A0821" w:rsidRPr="004000F0" w:rsidRDefault="005A0821" w:rsidP="005A0821">
            <w:r w:rsidRPr="004000F0">
              <w:t xml:space="preserve">Compared with the control group, </w:t>
            </w:r>
            <w:r w:rsidRPr="00BB4985">
              <w:rPr>
                <w:b/>
                <w:bCs/>
              </w:rPr>
              <w:t xml:space="preserve">a higher proportion of patients with high PD-L1 </w:t>
            </w:r>
            <w:r w:rsidRPr="00937DE3">
              <w:rPr>
                <w:b/>
                <w:bCs/>
              </w:rPr>
              <w:t>expression was observed</w:t>
            </w:r>
            <w:r w:rsidRPr="004000F0">
              <w:t xml:space="preserve"> in the pembrolizumab group (P = 0.03).</w:t>
            </w:r>
          </w:p>
        </w:tc>
      </w:tr>
      <w:tr w:rsidR="005A0821" w:rsidRPr="004000F0" w14:paraId="119A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00D0" w14:textId="77777777" w:rsidR="005A0821" w:rsidRPr="004000F0" w:rsidRDefault="005A0821" w:rsidP="005A0821">
            <w:r w:rsidRPr="004000F0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7311EC13" w14:textId="77777777" w:rsidR="005A0821" w:rsidRPr="004000F0" w:rsidRDefault="005A0821" w:rsidP="005A0821">
            <w:r w:rsidRPr="004000F0">
              <w:t xml:space="preserve">A </w:t>
            </w:r>
            <w:r w:rsidRPr="00BB4985">
              <w:rPr>
                <w:b/>
                <w:bCs/>
              </w:rPr>
              <w:t>total of 12 patients (4.0%) had missing values</w:t>
            </w:r>
            <w:r w:rsidRPr="004000F0">
              <w:t xml:space="preserve"> for at least one clinical variable.</w:t>
            </w:r>
          </w:p>
        </w:tc>
      </w:tr>
    </w:tbl>
    <w:p w14:paraId="6ED906B3" w14:textId="77777777" w:rsidR="005A0821" w:rsidRPr="004000F0" w:rsidRDefault="00000000" w:rsidP="005A0821">
      <w:r w:rsidRPr="004000F0">
        <w:pict w14:anchorId="03DDD652">
          <v:rect id="_x0000_i1026" style="width:0;height:1.5pt" o:hralign="center" o:hrstd="t" o:hr="t" fillcolor="#a0a0a0" stroked="f"/>
        </w:pict>
      </w:r>
    </w:p>
    <w:p w14:paraId="16E2EA14" w14:textId="77777777" w:rsidR="005A0821" w:rsidRPr="004000F0" w:rsidRDefault="005A0821" w:rsidP="005A0821">
      <w:r w:rsidRPr="004000F0">
        <w:t>II. Efficacy Outcomes</w:t>
      </w:r>
    </w:p>
    <w:p w14:paraId="1A3ACE38" w14:textId="77777777" w:rsidR="005A0821" w:rsidRPr="004000F0" w:rsidRDefault="005A0821" w:rsidP="005A0821">
      <w:r w:rsidRPr="004000F0">
        <w:t>1️</w:t>
      </w:r>
      <w:r w:rsidRPr="004000F0">
        <w:rPr>
          <w:rFonts w:ascii="Segoe UI Symbol" w:hAnsi="Segoe UI Symbol" w:cs="Segoe UI Symbol"/>
        </w:rPr>
        <w:t>⃣</w:t>
      </w:r>
      <w:r w:rsidRPr="004000F0">
        <w:t xml:space="preserve"> Survival Outcomes (PFS / 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298"/>
      </w:tblGrid>
      <w:tr w:rsidR="005A0821" w:rsidRPr="004000F0" w14:paraId="787BB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602B9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4AA35EE1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34B12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5946" w14:textId="77777777" w:rsidR="005A0821" w:rsidRPr="004000F0" w:rsidRDefault="005A0821" w:rsidP="005A0821">
            <w:r w:rsidRPr="004000F0">
              <w:t>PFS description</w:t>
            </w:r>
          </w:p>
        </w:tc>
        <w:tc>
          <w:tcPr>
            <w:tcW w:w="0" w:type="auto"/>
            <w:vAlign w:val="center"/>
            <w:hideMark/>
          </w:tcPr>
          <w:p w14:paraId="0165AD2C" w14:textId="77777777" w:rsidR="005A0821" w:rsidRPr="004000F0" w:rsidRDefault="005A0821" w:rsidP="005A0821">
            <w:r w:rsidRPr="004000F0">
              <w:t>The median progression-free survival in the pembrolizumab group was 8.4 months.</w:t>
            </w:r>
          </w:p>
        </w:tc>
      </w:tr>
      <w:tr w:rsidR="005A0821" w:rsidRPr="004000F0" w14:paraId="2109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B6BE" w14:textId="77777777" w:rsidR="005A0821" w:rsidRPr="004000F0" w:rsidRDefault="005A0821" w:rsidP="005A0821">
            <w:r w:rsidRPr="004000F0">
              <w:t>OS description</w:t>
            </w:r>
          </w:p>
        </w:tc>
        <w:tc>
          <w:tcPr>
            <w:tcW w:w="0" w:type="auto"/>
            <w:vAlign w:val="center"/>
            <w:hideMark/>
          </w:tcPr>
          <w:p w14:paraId="2C324EE2" w14:textId="77777777" w:rsidR="005A0821" w:rsidRPr="004000F0" w:rsidRDefault="005A0821" w:rsidP="005A0821">
            <w:r w:rsidRPr="004000F0">
              <w:t>The median overall survival in the overall cohort was 18.6 months.</w:t>
            </w:r>
          </w:p>
        </w:tc>
      </w:tr>
      <w:tr w:rsidR="005A0821" w:rsidRPr="004000F0" w14:paraId="051D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BDFA" w14:textId="77777777" w:rsidR="005A0821" w:rsidRPr="004000F0" w:rsidRDefault="005A0821" w:rsidP="005A0821">
            <w:r w:rsidRPr="004000F0">
              <w:t>Between-group comparison</w:t>
            </w:r>
          </w:p>
        </w:tc>
        <w:tc>
          <w:tcPr>
            <w:tcW w:w="0" w:type="auto"/>
            <w:vAlign w:val="center"/>
            <w:hideMark/>
          </w:tcPr>
          <w:p w14:paraId="65CD03F6" w14:textId="77777777" w:rsidR="005A0821" w:rsidRPr="004000F0" w:rsidRDefault="005A0821" w:rsidP="005A0821">
            <w:r w:rsidRPr="004000F0">
              <w:t>Progression-free survival was significantly longer in the pembrolizumab group than in the control group (P = 0.01).</w:t>
            </w:r>
          </w:p>
        </w:tc>
      </w:tr>
      <w:tr w:rsidR="005A0821" w:rsidRPr="004000F0" w14:paraId="6B15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8756" w14:textId="77777777" w:rsidR="005A0821" w:rsidRPr="004000F0" w:rsidRDefault="005A0821" w:rsidP="005A0821">
            <w:r w:rsidRPr="004000F0">
              <w:t>Kaplan–Meier analysis</w:t>
            </w:r>
          </w:p>
        </w:tc>
        <w:tc>
          <w:tcPr>
            <w:tcW w:w="0" w:type="auto"/>
            <w:vAlign w:val="center"/>
            <w:hideMark/>
          </w:tcPr>
          <w:p w14:paraId="536BD69E" w14:textId="3A0DF184" w:rsidR="005A0821" w:rsidRPr="004000F0" w:rsidRDefault="005A0821" w:rsidP="005A0821">
            <w:r w:rsidRPr="004000F0">
              <w:t xml:space="preserve">Kaplan–Meier survival curves demonstrated a significant difference in progression-free survival </w:t>
            </w:r>
            <w:r w:rsidR="005A53C6">
              <w:rPr>
                <w:rFonts w:hint="eastAsia"/>
              </w:rPr>
              <w:t xml:space="preserve">over </w:t>
            </w:r>
            <w:r w:rsidR="005A53C6">
              <w:t>follow</w:t>
            </w:r>
            <w:r w:rsidR="005A53C6">
              <w:rPr>
                <w:rFonts w:hint="eastAsia"/>
              </w:rPr>
              <w:t>-up</w:t>
            </w:r>
            <w:r w:rsidR="005A53C6" w:rsidRPr="004000F0">
              <w:t xml:space="preserve"> </w:t>
            </w:r>
            <w:r w:rsidRPr="004000F0">
              <w:t>between the two groups.</w:t>
            </w:r>
          </w:p>
        </w:tc>
      </w:tr>
      <w:tr w:rsidR="005A0821" w:rsidRPr="004000F0" w14:paraId="23D93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6527" w14:textId="77777777" w:rsidR="005A0821" w:rsidRPr="004000F0" w:rsidRDefault="005A0821" w:rsidP="005A0821">
            <w:r w:rsidRPr="004000F0">
              <w:t>Risk reduction</w:t>
            </w:r>
          </w:p>
        </w:tc>
        <w:tc>
          <w:tcPr>
            <w:tcW w:w="0" w:type="auto"/>
            <w:vAlign w:val="center"/>
            <w:hideMark/>
          </w:tcPr>
          <w:p w14:paraId="10BC536D" w14:textId="77777777" w:rsidR="005A0821" w:rsidRPr="004000F0" w:rsidRDefault="005A0821" w:rsidP="005A0821">
            <w:r w:rsidRPr="004000F0">
              <w:t>Pembrolizumab treatment was associated with a significantly reduced risk of disease progression.</w:t>
            </w:r>
          </w:p>
        </w:tc>
      </w:tr>
    </w:tbl>
    <w:p w14:paraId="5E1EBA2F" w14:textId="77777777" w:rsidR="005A0821" w:rsidRPr="004000F0" w:rsidRDefault="00000000" w:rsidP="005A0821">
      <w:r w:rsidRPr="004000F0">
        <w:pict w14:anchorId="7073BABD">
          <v:rect id="_x0000_i1027" style="width:0;height:1.5pt" o:hralign="center" o:hrstd="t" o:hr="t" fillcolor="#a0a0a0" stroked="f"/>
        </w:pict>
      </w:r>
    </w:p>
    <w:p w14:paraId="5BD99076" w14:textId="77777777" w:rsidR="005A0821" w:rsidRPr="004000F0" w:rsidRDefault="005A0821" w:rsidP="005A0821">
      <w:r w:rsidRPr="004000F0">
        <w:lastRenderedPageBreak/>
        <w:t>2️</w:t>
      </w:r>
      <w:r w:rsidRPr="004000F0">
        <w:rPr>
          <w:rFonts w:ascii="Segoe UI Symbol" w:hAnsi="Segoe UI Symbol" w:cs="Segoe UI Symbol"/>
        </w:rPr>
        <w:t>⃣</w:t>
      </w:r>
      <w:r w:rsidRPr="004000F0">
        <w:t xml:space="preserve"> Tumor Response (ORR / DCR)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461"/>
      </w:tblGrid>
      <w:tr w:rsidR="005A0821" w:rsidRPr="004000F0" w14:paraId="65D83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F494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2EBEB951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06E3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6A91" w14:textId="77777777" w:rsidR="005A0821" w:rsidRPr="004000F0" w:rsidRDefault="005A0821" w:rsidP="005A0821">
            <w:r w:rsidRPr="004000F0">
              <w:t>ORR</w:t>
            </w:r>
          </w:p>
        </w:tc>
        <w:tc>
          <w:tcPr>
            <w:tcW w:w="0" w:type="auto"/>
            <w:vAlign w:val="center"/>
            <w:hideMark/>
          </w:tcPr>
          <w:p w14:paraId="464602BC" w14:textId="77777777" w:rsidR="005A0821" w:rsidRPr="004000F0" w:rsidRDefault="005A0821" w:rsidP="005A0821">
            <w:r w:rsidRPr="004000F0">
              <w:t>The objective response rate in the pembrolizumab group was 38.5%.</w:t>
            </w:r>
          </w:p>
        </w:tc>
      </w:tr>
      <w:tr w:rsidR="005A0821" w:rsidRPr="004000F0" w14:paraId="4F3D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7B61" w14:textId="77777777" w:rsidR="005A0821" w:rsidRPr="004000F0" w:rsidRDefault="005A0821" w:rsidP="005A0821">
            <w:r w:rsidRPr="004000F0">
              <w:t>DCR</w:t>
            </w:r>
          </w:p>
        </w:tc>
        <w:tc>
          <w:tcPr>
            <w:tcW w:w="0" w:type="auto"/>
            <w:vAlign w:val="center"/>
            <w:hideMark/>
          </w:tcPr>
          <w:p w14:paraId="4F3C16A6" w14:textId="77777777" w:rsidR="005A0821" w:rsidRPr="004000F0" w:rsidRDefault="005A0821" w:rsidP="005A0821">
            <w:r w:rsidRPr="004000F0">
              <w:t>The disease control rate in the pembrolizumab group reached 64.2%.</w:t>
            </w:r>
          </w:p>
        </w:tc>
      </w:tr>
      <w:tr w:rsidR="005A0821" w:rsidRPr="004000F0" w14:paraId="3C78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BDE9" w14:textId="77777777" w:rsidR="005A0821" w:rsidRPr="004000F0" w:rsidRDefault="005A0821" w:rsidP="005A0821">
            <w:r w:rsidRPr="004000F0">
              <w:t>Between-group difference</w:t>
            </w:r>
          </w:p>
        </w:tc>
        <w:tc>
          <w:tcPr>
            <w:tcW w:w="0" w:type="auto"/>
            <w:vAlign w:val="center"/>
            <w:hideMark/>
          </w:tcPr>
          <w:p w14:paraId="7024525B" w14:textId="77777777" w:rsidR="005A0821" w:rsidRPr="004000F0" w:rsidRDefault="005A0821" w:rsidP="005A0821">
            <w:r w:rsidRPr="004000F0">
              <w:t>Compared with the chemotherapy group, the objective response rate was significantly higher in the pembrolizumab group.</w:t>
            </w:r>
          </w:p>
        </w:tc>
      </w:tr>
      <w:tr w:rsidR="005A0821" w:rsidRPr="004000F0" w14:paraId="042E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52CF" w14:textId="77777777" w:rsidR="005A0821" w:rsidRPr="004000F0" w:rsidRDefault="005A0821" w:rsidP="005A0821">
            <w:r w:rsidRPr="004000F0">
              <w:t>Subgroup response</w:t>
            </w:r>
          </w:p>
        </w:tc>
        <w:tc>
          <w:tcPr>
            <w:tcW w:w="0" w:type="auto"/>
            <w:vAlign w:val="center"/>
            <w:hideMark/>
          </w:tcPr>
          <w:p w14:paraId="5FB6D59E" w14:textId="77777777" w:rsidR="005A0821" w:rsidRPr="004000F0" w:rsidRDefault="005A0821" w:rsidP="005A0821">
            <w:r w:rsidRPr="004000F0">
              <w:t>Patients with high PD-L1 expression demonstrated a significantly higher objective response rate than those with low PD-L1 expression.</w:t>
            </w:r>
          </w:p>
        </w:tc>
      </w:tr>
    </w:tbl>
    <w:p w14:paraId="752F8469" w14:textId="77777777" w:rsidR="005A0821" w:rsidRPr="004000F0" w:rsidRDefault="00000000" w:rsidP="005A0821">
      <w:r w:rsidRPr="004000F0">
        <w:pict w14:anchorId="22CFD248">
          <v:rect id="_x0000_i1028" style="width:0;height:1.5pt" o:hralign="center" o:hrstd="t" o:hr="t" fillcolor="#a0a0a0" stroked="f"/>
        </w:pict>
      </w:r>
    </w:p>
    <w:p w14:paraId="3AF79539" w14:textId="77777777" w:rsidR="005A0821" w:rsidRPr="004000F0" w:rsidRDefault="005A0821" w:rsidP="005A0821">
      <w:r w:rsidRPr="004000F0">
        <w:t>III. Safety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7199"/>
      </w:tblGrid>
      <w:tr w:rsidR="005A0821" w:rsidRPr="004000F0" w14:paraId="48813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86E5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5F57DB34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7497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DAFD" w14:textId="77777777" w:rsidR="005A0821" w:rsidRPr="004000F0" w:rsidRDefault="005A0821" w:rsidP="005A0821">
            <w:r w:rsidRPr="004000F0">
              <w:t>Overall adverse events</w:t>
            </w:r>
          </w:p>
        </w:tc>
        <w:tc>
          <w:tcPr>
            <w:tcW w:w="0" w:type="auto"/>
            <w:vAlign w:val="center"/>
            <w:hideMark/>
          </w:tcPr>
          <w:p w14:paraId="75AFCEA2" w14:textId="77777777" w:rsidR="005A0821" w:rsidRPr="004000F0" w:rsidRDefault="005A0821" w:rsidP="005A0821">
            <w:r w:rsidRPr="004000F0">
              <w:t xml:space="preserve">At least one adverse event </w:t>
            </w:r>
            <w:r w:rsidRPr="00937DE3">
              <w:rPr>
                <w:b/>
                <w:bCs/>
              </w:rPr>
              <w:t>occurred</w:t>
            </w:r>
            <w:r w:rsidRPr="004000F0">
              <w:t xml:space="preserve"> </w:t>
            </w:r>
            <w:r w:rsidRPr="00AC0688">
              <w:rPr>
                <w:b/>
                <w:bCs/>
              </w:rPr>
              <w:t>in 72.1% of patients receiving pembrolizumab.</w:t>
            </w:r>
          </w:p>
        </w:tc>
      </w:tr>
      <w:tr w:rsidR="005A0821" w:rsidRPr="004000F0" w14:paraId="14E7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55B2" w14:textId="77777777" w:rsidR="005A0821" w:rsidRPr="004000F0" w:rsidRDefault="005A0821" w:rsidP="005A0821">
            <w:r w:rsidRPr="004000F0">
              <w:t>Severe adverse events</w:t>
            </w:r>
          </w:p>
        </w:tc>
        <w:tc>
          <w:tcPr>
            <w:tcW w:w="0" w:type="auto"/>
            <w:vAlign w:val="center"/>
            <w:hideMark/>
          </w:tcPr>
          <w:p w14:paraId="6E3F7E94" w14:textId="77777777" w:rsidR="005A0821" w:rsidRPr="004000F0" w:rsidRDefault="005A0821" w:rsidP="005A0821">
            <w:r w:rsidRPr="004000F0">
              <w:t>Grade ≥3 adverse events were observed in 18.4% of patients.</w:t>
            </w:r>
          </w:p>
        </w:tc>
      </w:tr>
      <w:tr w:rsidR="005A0821" w:rsidRPr="004000F0" w14:paraId="436CA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74A3" w14:textId="77777777" w:rsidR="005A0821" w:rsidRPr="004000F0" w:rsidRDefault="005A0821" w:rsidP="005A0821">
            <w:r w:rsidRPr="004000F0">
              <w:t>Between-group comparison</w:t>
            </w:r>
          </w:p>
        </w:tc>
        <w:tc>
          <w:tcPr>
            <w:tcW w:w="0" w:type="auto"/>
            <w:vAlign w:val="center"/>
            <w:hideMark/>
          </w:tcPr>
          <w:p w14:paraId="59704750" w14:textId="77777777" w:rsidR="005A0821" w:rsidRPr="004000F0" w:rsidRDefault="005A0821" w:rsidP="005A0821">
            <w:r w:rsidRPr="004000F0">
              <w:t>No statistically significant difference in the incidence of severe adverse events was observed between the two groups.</w:t>
            </w:r>
          </w:p>
        </w:tc>
      </w:tr>
      <w:tr w:rsidR="005A0821" w:rsidRPr="004000F0" w14:paraId="3F3D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A305" w14:textId="77777777" w:rsidR="005A0821" w:rsidRPr="004000F0" w:rsidRDefault="005A0821" w:rsidP="005A0821">
            <w:r w:rsidRPr="004000F0">
              <w:t>Immune-related events</w:t>
            </w:r>
          </w:p>
        </w:tc>
        <w:tc>
          <w:tcPr>
            <w:tcW w:w="0" w:type="auto"/>
            <w:vAlign w:val="center"/>
            <w:hideMark/>
          </w:tcPr>
          <w:p w14:paraId="285AD228" w14:textId="77777777" w:rsidR="005A0821" w:rsidRPr="004000F0" w:rsidRDefault="005A0821" w:rsidP="005A0821">
            <w:r w:rsidRPr="004000F0">
              <w:t xml:space="preserve">The most common immune-related </w:t>
            </w:r>
            <w:r w:rsidRPr="00937DE3">
              <w:rPr>
                <w:b/>
                <w:bCs/>
              </w:rPr>
              <w:t>adverse events</w:t>
            </w:r>
            <w:r w:rsidRPr="004000F0">
              <w:t xml:space="preserve"> </w:t>
            </w:r>
            <w:r w:rsidRPr="00AC0688">
              <w:rPr>
                <w:b/>
                <w:bCs/>
              </w:rPr>
              <w:t>included rash and thyroid dysfunction.</w:t>
            </w:r>
          </w:p>
        </w:tc>
      </w:tr>
    </w:tbl>
    <w:p w14:paraId="2406AE98" w14:textId="77777777" w:rsidR="005A0821" w:rsidRPr="004000F0" w:rsidRDefault="00000000" w:rsidP="005A0821">
      <w:r w:rsidRPr="004000F0">
        <w:pict w14:anchorId="19C2E41B">
          <v:rect id="_x0000_i1029" style="width:0;height:1.5pt" o:hralign="center" o:hrstd="t" o:hr="t" fillcolor="#a0a0a0" stroked="f"/>
        </w:pict>
      </w:r>
    </w:p>
    <w:p w14:paraId="2F64D2F0" w14:textId="77777777" w:rsidR="005A0821" w:rsidRPr="004000F0" w:rsidRDefault="005A0821" w:rsidP="005A0821">
      <w:r w:rsidRPr="004000F0">
        <w:t>IV. Correlation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7274"/>
      </w:tblGrid>
      <w:tr w:rsidR="005A0821" w:rsidRPr="004000F0" w14:paraId="4B20E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D133C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0CD7BAAB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78BD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A5A6" w14:textId="77777777" w:rsidR="005A0821" w:rsidRPr="004000F0" w:rsidRDefault="005A0821" w:rsidP="005A0821">
            <w:r w:rsidRPr="004000F0">
              <w:t>Positive correlation</w:t>
            </w:r>
          </w:p>
        </w:tc>
        <w:tc>
          <w:tcPr>
            <w:tcW w:w="0" w:type="auto"/>
            <w:vAlign w:val="center"/>
            <w:hideMark/>
          </w:tcPr>
          <w:p w14:paraId="38DFB20A" w14:textId="77777777" w:rsidR="005A0821" w:rsidRPr="004000F0" w:rsidRDefault="005A0821" w:rsidP="005A0821">
            <w:r w:rsidRPr="004000F0">
              <w:t>PD-L1 expression level was significantly positively correlated with progression-free survival.</w:t>
            </w:r>
          </w:p>
        </w:tc>
      </w:tr>
      <w:tr w:rsidR="005A0821" w:rsidRPr="004000F0" w14:paraId="5DBB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4BDE" w14:textId="77777777" w:rsidR="005A0821" w:rsidRPr="004000F0" w:rsidRDefault="005A0821" w:rsidP="005A0821">
            <w:r w:rsidRPr="004000F0">
              <w:t>Negative correlation</w:t>
            </w:r>
          </w:p>
        </w:tc>
        <w:tc>
          <w:tcPr>
            <w:tcW w:w="0" w:type="auto"/>
            <w:vAlign w:val="center"/>
            <w:hideMark/>
          </w:tcPr>
          <w:p w14:paraId="2B2C4E0E" w14:textId="77777777" w:rsidR="005A0821" w:rsidRPr="004000F0" w:rsidRDefault="005A0821" w:rsidP="005A0821">
            <w:r w:rsidRPr="004000F0">
              <w:t>Baseline tumor burden was negatively correlated with overall survival.</w:t>
            </w:r>
          </w:p>
        </w:tc>
      </w:tr>
      <w:tr w:rsidR="005A0821" w:rsidRPr="004000F0" w14:paraId="09DC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078A" w14:textId="77777777" w:rsidR="005A0821" w:rsidRPr="004000F0" w:rsidRDefault="005A0821" w:rsidP="005A0821">
            <w:r w:rsidRPr="004000F0">
              <w:lastRenderedPageBreak/>
              <w:t>Strength of correlation</w:t>
            </w:r>
          </w:p>
        </w:tc>
        <w:tc>
          <w:tcPr>
            <w:tcW w:w="0" w:type="auto"/>
            <w:vAlign w:val="center"/>
            <w:hideMark/>
          </w:tcPr>
          <w:p w14:paraId="19B32D46" w14:textId="77777777" w:rsidR="005A0821" w:rsidRPr="004000F0" w:rsidRDefault="005A0821" w:rsidP="005A0821">
            <w:r w:rsidRPr="004000F0">
              <w:t xml:space="preserve">The correlation </w:t>
            </w:r>
            <w:r w:rsidRPr="00AC0688">
              <w:rPr>
                <w:b/>
                <w:bCs/>
              </w:rPr>
              <w:t>was of</w:t>
            </w:r>
            <w:r w:rsidRPr="004000F0">
              <w:t xml:space="preserve"> </w:t>
            </w:r>
            <w:r w:rsidRPr="00AC0688">
              <w:rPr>
                <w:b/>
                <w:bCs/>
              </w:rPr>
              <w:t>moderate strength</w:t>
            </w:r>
            <w:r w:rsidRPr="004000F0">
              <w:t xml:space="preserve"> (r = 0.41).</w:t>
            </w:r>
          </w:p>
        </w:tc>
      </w:tr>
      <w:tr w:rsidR="005A0821" w:rsidRPr="004000F0" w14:paraId="78E8E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36BD" w14:textId="77777777" w:rsidR="005A0821" w:rsidRPr="004000F0" w:rsidRDefault="005A0821" w:rsidP="005A0821">
            <w:r w:rsidRPr="004000F0">
              <w:t>Adjustment</w:t>
            </w:r>
          </w:p>
        </w:tc>
        <w:tc>
          <w:tcPr>
            <w:tcW w:w="0" w:type="auto"/>
            <w:vAlign w:val="center"/>
            <w:hideMark/>
          </w:tcPr>
          <w:p w14:paraId="6EE8ED6A" w14:textId="77777777" w:rsidR="005A0821" w:rsidRPr="004000F0" w:rsidRDefault="005A0821" w:rsidP="005A0821">
            <w:r w:rsidRPr="004000F0">
              <w:t>The association remained after adjustment for age and disease stage.</w:t>
            </w:r>
          </w:p>
        </w:tc>
      </w:tr>
    </w:tbl>
    <w:p w14:paraId="19CBAC5F" w14:textId="77777777" w:rsidR="005A0821" w:rsidRPr="004000F0" w:rsidRDefault="00000000" w:rsidP="005A0821">
      <w:r w:rsidRPr="004000F0">
        <w:pict w14:anchorId="64B5B261">
          <v:rect id="_x0000_i1030" style="width:0;height:1.5pt" o:hralign="center" o:hrstd="t" o:hr="t" fillcolor="#a0a0a0" stroked="f"/>
        </w:pict>
      </w:r>
    </w:p>
    <w:p w14:paraId="35A0786D" w14:textId="77777777" w:rsidR="005A0821" w:rsidRPr="004000F0" w:rsidRDefault="005A0821" w:rsidP="005A0821">
      <w:r w:rsidRPr="004000F0">
        <w:t>V. Regression Analysis</w:t>
      </w:r>
    </w:p>
    <w:p w14:paraId="6838C51D" w14:textId="77777777" w:rsidR="005A0821" w:rsidRPr="004000F0" w:rsidRDefault="005A0821" w:rsidP="005A0821">
      <w:r w:rsidRPr="004000F0">
        <w:t>1️</w:t>
      </w:r>
      <w:r w:rsidRPr="004000F0">
        <w:rPr>
          <w:rFonts w:ascii="Segoe UI Symbol" w:hAnsi="Segoe UI Symbol" w:cs="Segoe UI Symbol"/>
        </w:rPr>
        <w:t>⃣</w:t>
      </w:r>
      <w:r w:rsidRPr="004000F0">
        <w:t xml:space="preserve"> Univariate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43"/>
      </w:tblGrid>
      <w:tr w:rsidR="005A0821" w:rsidRPr="004000F0" w14:paraId="762AE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EC95E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37B00134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71163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1CB2" w14:textId="77777777" w:rsidR="005A0821" w:rsidRPr="004000F0" w:rsidRDefault="005A0821" w:rsidP="005A0821">
            <w:r w:rsidRPr="004000F0">
              <w:t>Univariate Cox regression</w:t>
            </w:r>
          </w:p>
        </w:tc>
        <w:tc>
          <w:tcPr>
            <w:tcW w:w="0" w:type="auto"/>
            <w:vAlign w:val="center"/>
            <w:hideMark/>
          </w:tcPr>
          <w:p w14:paraId="4620BD98" w14:textId="77777777" w:rsidR="005A0821" w:rsidRPr="004000F0" w:rsidRDefault="005A0821" w:rsidP="005A0821">
            <w:r w:rsidRPr="004000F0">
              <w:t>In univariate Cox regression analysis, pembrolizumab treatment was significantly associated with a reduced risk of disease progression.</w:t>
            </w:r>
          </w:p>
        </w:tc>
      </w:tr>
      <w:tr w:rsidR="005A0821" w:rsidRPr="004000F0" w14:paraId="0677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28F9" w14:textId="77777777" w:rsidR="005A0821" w:rsidRPr="004000F0" w:rsidRDefault="005A0821" w:rsidP="005A0821">
            <w:r w:rsidRPr="004000F0">
              <w:t>Univariate logistic regression</w:t>
            </w:r>
          </w:p>
        </w:tc>
        <w:tc>
          <w:tcPr>
            <w:tcW w:w="0" w:type="auto"/>
            <w:vAlign w:val="center"/>
            <w:hideMark/>
          </w:tcPr>
          <w:p w14:paraId="54B6DE34" w14:textId="77777777" w:rsidR="005A0821" w:rsidRPr="004000F0" w:rsidRDefault="005A0821" w:rsidP="005A0821">
            <w:r w:rsidRPr="004000F0">
              <w:t>In univariate analysis, high PD-L1 expression was significantly associated with objective response.</w:t>
            </w:r>
          </w:p>
        </w:tc>
      </w:tr>
    </w:tbl>
    <w:p w14:paraId="2ACDEA59" w14:textId="77777777" w:rsidR="005A0821" w:rsidRPr="004000F0" w:rsidRDefault="00000000" w:rsidP="005A0821">
      <w:r w:rsidRPr="004000F0">
        <w:pict w14:anchorId="29891386">
          <v:rect id="_x0000_i1031" style="width:0;height:1.5pt" o:hralign="center" o:hrstd="t" o:hr="t" fillcolor="#a0a0a0" stroked="f"/>
        </w:pict>
      </w:r>
    </w:p>
    <w:p w14:paraId="38A417CC" w14:textId="77777777" w:rsidR="005A0821" w:rsidRPr="004000F0" w:rsidRDefault="005A0821" w:rsidP="005A0821">
      <w:r w:rsidRPr="004000F0">
        <w:t>2️</w:t>
      </w:r>
      <w:r w:rsidRPr="004000F0">
        <w:rPr>
          <w:rFonts w:ascii="Segoe UI Symbol" w:hAnsi="Segoe UI Symbol" w:cs="Segoe UI Symbol"/>
        </w:rPr>
        <w:t>⃣</w:t>
      </w:r>
      <w:r w:rsidRPr="004000F0">
        <w:t xml:space="preserve"> Multivariable Analysis (Key 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329"/>
      </w:tblGrid>
      <w:tr w:rsidR="005A0821" w:rsidRPr="004000F0" w14:paraId="19EA4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C12F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31CCD3E9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00F3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D6BC" w14:textId="77777777" w:rsidR="005A0821" w:rsidRPr="004000F0" w:rsidRDefault="005A0821" w:rsidP="005A0821">
            <w:r w:rsidRPr="004000F0">
              <w:t>Multivariable Cox regression</w:t>
            </w:r>
          </w:p>
        </w:tc>
        <w:tc>
          <w:tcPr>
            <w:tcW w:w="0" w:type="auto"/>
            <w:vAlign w:val="center"/>
            <w:hideMark/>
          </w:tcPr>
          <w:p w14:paraId="1B82B8AD" w14:textId="77777777" w:rsidR="005A0821" w:rsidRPr="004000F0" w:rsidRDefault="005A0821" w:rsidP="005A0821">
            <w:r w:rsidRPr="004000F0">
              <w:t xml:space="preserve">Multivariable Cox regression analysis demonstrated that pembrolizumab treatment was </w:t>
            </w:r>
            <w:r w:rsidRPr="00AC0688">
              <w:rPr>
                <w:b/>
                <w:bCs/>
              </w:rPr>
              <w:t>an independent protective factor against disease progression.</w:t>
            </w:r>
          </w:p>
        </w:tc>
      </w:tr>
      <w:tr w:rsidR="005A0821" w:rsidRPr="004000F0" w14:paraId="1ABF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1A16" w14:textId="77777777" w:rsidR="005A0821" w:rsidRPr="004000F0" w:rsidRDefault="005A0821" w:rsidP="005A0821">
            <w:r w:rsidRPr="004000F0">
              <w:t>Adjusted results</w:t>
            </w:r>
          </w:p>
        </w:tc>
        <w:tc>
          <w:tcPr>
            <w:tcW w:w="0" w:type="auto"/>
            <w:vAlign w:val="center"/>
            <w:hideMark/>
          </w:tcPr>
          <w:p w14:paraId="5D337943" w14:textId="77777777" w:rsidR="005A0821" w:rsidRPr="004000F0" w:rsidRDefault="005A0821" w:rsidP="005A0821">
            <w:r w:rsidRPr="004000F0">
              <w:t>The association remained statistically significant after adjustment for age, sex, disease stage, and PD-L1 expression.</w:t>
            </w:r>
          </w:p>
        </w:tc>
      </w:tr>
      <w:tr w:rsidR="005A0821" w:rsidRPr="004000F0" w14:paraId="49719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7CD5" w14:textId="77777777" w:rsidR="005A0821" w:rsidRPr="004000F0" w:rsidRDefault="005A0821" w:rsidP="005A0821">
            <w:r w:rsidRPr="004000F0">
              <w:t>Control of confounding</w:t>
            </w:r>
          </w:p>
        </w:tc>
        <w:tc>
          <w:tcPr>
            <w:tcW w:w="0" w:type="auto"/>
            <w:vAlign w:val="center"/>
            <w:hideMark/>
          </w:tcPr>
          <w:p w14:paraId="74F3D64F" w14:textId="77777777" w:rsidR="005A0821" w:rsidRPr="004000F0" w:rsidRDefault="005A0821" w:rsidP="005A0821">
            <w:r w:rsidRPr="004000F0">
              <w:t>The results remained stable after controlling for potential confounding factors.</w:t>
            </w:r>
          </w:p>
        </w:tc>
      </w:tr>
      <w:tr w:rsidR="005A0821" w:rsidRPr="004000F0" w14:paraId="56D5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4A8F" w14:textId="77777777" w:rsidR="005A0821" w:rsidRPr="004000F0" w:rsidRDefault="005A0821" w:rsidP="005A0821">
            <w:r w:rsidRPr="004000F0">
              <w:t>Model stability</w:t>
            </w:r>
          </w:p>
        </w:tc>
        <w:tc>
          <w:tcPr>
            <w:tcW w:w="0" w:type="auto"/>
            <w:vAlign w:val="center"/>
            <w:hideMark/>
          </w:tcPr>
          <w:p w14:paraId="0BD71F3A" w14:textId="77777777" w:rsidR="005A0821" w:rsidRPr="004000F0" w:rsidRDefault="005A0821" w:rsidP="005A0821">
            <w:r w:rsidRPr="00AC0688">
              <w:rPr>
                <w:b/>
                <w:bCs/>
              </w:rPr>
              <w:t>No significant multicollinearity was detected</w:t>
            </w:r>
            <w:r w:rsidRPr="004000F0">
              <w:t xml:space="preserve"> among the variables included in the model.</w:t>
            </w:r>
          </w:p>
        </w:tc>
      </w:tr>
    </w:tbl>
    <w:p w14:paraId="5E8C2BE4" w14:textId="77777777" w:rsidR="005A0821" w:rsidRPr="004000F0" w:rsidRDefault="00000000" w:rsidP="005A0821">
      <w:r w:rsidRPr="004000F0">
        <w:pict w14:anchorId="0ABEBED2">
          <v:rect id="_x0000_i1032" style="width:0;height:1.5pt" o:hralign="center" o:hrstd="t" o:hr="t" fillcolor="#a0a0a0" stroked="f"/>
        </w:pict>
      </w:r>
    </w:p>
    <w:p w14:paraId="427CAFF5" w14:textId="77777777" w:rsidR="005A0821" w:rsidRPr="004000F0" w:rsidRDefault="005A0821" w:rsidP="005A0821">
      <w:r w:rsidRPr="004000F0">
        <w:t>VI. Subgroup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905"/>
      </w:tblGrid>
      <w:tr w:rsidR="005A0821" w:rsidRPr="004000F0" w14:paraId="094E6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71395" w14:textId="77777777" w:rsidR="005A0821" w:rsidRPr="004000F0" w:rsidRDefault="005A0821" w:rsidP="005A0821">
            <w:r w:rsidRPr="004000F0"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27372335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141C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B2D2" w14:textId="77777777" w:rsidR="005A0821" w:rsidRPr="004000F0" w:rsidRDefault="005A0821" w:rsidP="005A0821">
            <w:r w:rsidRPr="004000F0">
              <w:t>Consistency across subgroups</w:t>
            </w:r>
          </w:p>
        </w:tc>
        <w:tc>
          <w:tcPr>
            <w:tcW w:w="0" w:type="auto"/>
            <w:vAlign w:val="center"/>
            <w:hideMark/>
          </w:tcPr>
          <w:p w14:paraId="7DADEAF7" w14:textId="77777777" w:rsidR="005A0821" w:rsidRPr="004000F0" w:rsidRDefault="005A0821" w:rsidP="005A0821">
            <w:r w:rsidRPr="004000F0">
              <w:t>Consistent treatment benefits of pembrolizumab were observed across all predefined subgroups.</w:t>
            </w:r>
          </w:p>
        </w:tc>
      </w:tr>
      <w:tr w:rsidR="005A0821" w:rsidRPr="004000F0" w14:paraId="68D62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26E6" w14:textId="77777777" w:rsidR="005A0821" w:rsidRPr="004000F0" w:rsidRDefault="005A0821" w:rsidP="005A0821">
            <w:r w:rsidRPr="004000F0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1F7F11AF" w14:textId="77777777" w:rsidR="005A0821" w:rsidRPr="004000F0" w:rsidRDefault="005A0821" w:rsidP="005A0821">
            <w:r w:rsidRPr="004000F0">
              <w:t>No statistically significant interaction between treatment effect and subgroup variables was observed.</w:t>
            </w:r>
          </w:p>
        </w:tc>
      </w:tr>
      <w:tr w:rsidR="005A0821" w:rsidRPr="004000F0" w14:paraId="56E4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122E" w14:textId="77777777" w:rsidR="005A0821" w:rsidRPr="004000F0" w:rsidRDefault="005A0821" w:rsidP="005A0821">
            <w:r w:rsidRPr="004000F0">
              <w:t>Specific population</w:t>
            </w:r>
          </w:p>
        </w:tc>
        <w:tc>
          <w:tcPr>
            <w:tcW w:w="0" w:type="auto"/>
            <w:vAlign w:val="center"/>
            <w:hideMark/>
          </w:tcPr>
          <w:p w14:paraId="04E16B78" w14:textId="77777777" w:rsidR="005A0821" w:rsidRPr="004000F0" w:rsidRDefault="005A0821" w:rsidP="005A0821">
            <w:r w:rsidRPr="004000F0">
              <w:t xml:space="preserve">The treatment benefit </w:t>
            </w:r>
            <w:r w:rsidRPr="00937DE3">
              <w:rPr>
                <w:b/>
                <w:bCs/>
              </w:rPr>
              <w:t>appeared to</w:t>
            </w:r>
            <w:r w:rsidRPr="00095BEC">
              <w:rPr>
                <w:b/>
                <w:bCs/>
              </w:rPr>
              <w:t xml:space="preserve"> be more pronounced</w:t>
            </w:r>
            <w:r w:rsidRPr="004000F0">
              <w:t xml:space="preserve"> among patients with PD-L1 expression ≥50%.</w:t>
            </w:r>
          </w:p>
        </w:tc>
      </w:tr>
    </w:tbl>
    <w:p w14:paraId="1BA93D81" w14:textId="77777777" w:rsidR="005A0821" w:rsidRPr="004000F0" w:rsidRDefault="00000000" w:rsidP="005A0821">
      <w:r w:rsidRPr="004000F0">
        <w:pict w14:anchorId="52AB282C">
          <v:rect id="_x0000_i1033" style="width:0;height:1.5pt" o:hralign="center" o:hrstd="t" o:hr="t" fillcolor="#a0a0a0" stroked="f"/>
        </w:pict>
      </w:r>
    </w:p>
    <w:p w14:paraId="46A936BC" w14:textId="77777777" w:rsidR="005A0821" w:rsidRPr="004000F0" w:rsidRDefault="005A0821" w:rsidP="005A0821">
      <w:r w:rsidRPr="004000F0">
        <w:t>VII. Sensitivity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635"/>
      </w:tblGrid>
      <w:tr w:rsidR="005A0821" w:rsidRPr="004000F0" w14:paraId="1232B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9EF7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40D04D4F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1E78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2A4B" w14:textId="77777777" w:rsidR="005A0821" w:rsidRPr="004000F0" w:rsidRDefault="005A0821" w:rsidP="005A0821">
            <w:r w:rsidRPr="004000F0">
              <w:t>Purpose</w:t>
            </w:r>
          </w:p>
        </w:tc>
        <w:tc>
          <w:tcPr>
            <w:tcW w:w="0" w:type="auto"/>
            <w:vAlign w:val="center"/>
            <w:hideMark/>
          </w:tcPr>
          <w:p w14:paraId="051F57D1" w14:textId="77777777" w:rsidR="005A0821" w:rsidRPr="004000F0" w:rsidRDefault="005A0821" w:rsidP="005A0821">
            <w:r w:rsidRPr="004000F0">
              <w:t>Multiple sensitivity analyses were performed to assess the robustness of the findings.</w:t>
            </w:r>
          </w:p>
        </w:tc>
      </w:tr>
      <w:tr w:rsidR="005A0821" w:rsidRPr="004000F0" w14:paraId="38D5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B502" w14:textId="77777777" w:rsidR="005A0821" w:rsidRPr="004000F0" w:rsidRDefault="005A0821" w:rsidP="005A0821">
            <w:r w:rsidRPr="004000F0">
              <w:t>Exclusion analysis</w:t>
            </w:r>
          </w:p>
        </w:tc>
        <w:tc>
          <w:tcPr>
            <w:tcW w:w="0" w:type="auto"/>
            <w:vAlign w:val="center"/>
            <w:hideMark/>
          </w:tcPr>
          <w:p w14:paraId="2A73D596" w14:textId="77777777" w:rsidR="005A0821" w:rsidRPr="004000F0" w:rsidRDefault="005A0821" w:rsidP="005A0821">
            <w:r w:rsidRPr="004000F0">
              <w:t xml:space="preserve">After excluding patients with follow-up shorter than 3 months, the main results </w:t>
            </w:r>
            <w:r w:rsidRPr="00095BEC">
              <w:rPr>
                <w:b/>
                <w:bCs/>
              </w:rPr>
              <w:t>did not materially change.</w:t>
            </w:r>
          </w:p>
        </w:tc>
      </w:tr>
      <w:tr w:rsidR="005A0821" w:rsidRPr="004000F0" w14:paraId="06F5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24F6" w14:textId="77777777" w:rsidR="005A0821" w:rsidRPr="004000F0" w:rsidRDefault="005A0821" w:rsidP="005A0821">
            <w:r w:rsidRPr="004000F0">
              <w:t>Alternative models</w:t>
            </w:r>
          </w:p>
        </w:tc>
        <w:tc>
          <w:tcPr>
            <w:tcW w:w="0" w:type="auto"/>
            <w:vAlign w:val="center"/>
            <w:hideMark/>
          </w:tcPr>
          <w:p w14:paraId="4851D8C5" w14:textId="77777777" w:rsidR="005A0821" w:rsidRPr="004000F0" w:rsidRDefault="005A0821" w:rsidP="005A0821">
            <w:r w:rsidRPr="004000F0">
              <w:t xml:space="preserve">The primary conclusions </w:t>
            </w:r>
            <w:r w:rsidRPr="00937DE3">
              <w:rPr>
                <w:b/>
                <w:bCs/>
              </w:rPr>
              <w:t>remained consistent</w:t>
            </w:r>
            <w:r w:rsidRPr="004000F0">
              <w:t xml:space="preserve"> </w:t>
            </w:r>
            <w:r w:rsidRPr="00095BEC">
              <w:rPr>
                <w:b/>
                <w:bCs/>
              </w:rPr>
              <w:t>when alternative statistical models were applied.</w:t>
            </w:r>
          </w:p>
        </w:tc>
      </w:tr>
    </w:tbl>
    <w:p w14:paraId="1E6718B3" w14:textId="77777777" w:rsidR="005A0821" w:rsidRPr="004000F0" w:rsidRDefault="00000000" w:rsidP="005A0821">
      <w:r w:rsidRPr="004000F0">
        <w:pict w14:anchorId="0B310E6F">
          <v:rect id="_x0000_i1034" style="width:0;height:1.5pt" o:hralign="center" o:hrstd="t" o:hr="t" fillcolor="#a0a0a0" stroked="f"/>
        </w:pict>
      </w:r>
    </w:p>
    <w:p w14:paraId="742B5055" w14:textId="77777777" w:rsidR="005A0821" w:rsidRPr="004000F0" w:rsidRDefault="005A0821" w:rsidP="005A0821">
      <w:r w:rsidRPr="004000F0">
        <w:t>VIII. Non-significant and Trend Results (Commonly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353"/>
      </w:tblGrid>
      <w:tr w:rsidR="005A0821" w:rsidRPr="004000F0" w14:paraId="051FC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CDC2" w14:textId="77777777" w:rsidR="005A0821" w:rsidRPr="004000F0" w:rsidRDefault="005A0821" w:rsidP="005A0821">
            <w:r w:rsidRPr="004000F0">
              <w:t>Scenario</w:t>
            </w:r>
          </w:p>
        </w:tc>
        <w:tc>
          <w:tcPr>
            <w:tcW w:w="0" w:type="auto"/>
            <w:vAlign w:val="center"/>
            <w:hideMark/>
          </w:tcPr>
          <w:p w14:paraId="25A34F24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5924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76D6" w14:textId="77777777" w:rsidR="005A0821" w:rsidRPr="004000F0" w:rsidRDefault="005A0821" w:rsidP="005A0821">
            <w:r w:rsidRPr="004000F0">
              <w:t>Non-significant result</w:t>
            </w:r>
          </w:p>
        </w:tc>
        <w:tc>
          <w:tcPr>
            <w:tcW w:w="0" w:type="auto"/>
            <w:vAlign w:val="center"/>
            <w:hideMark/>
          </w:tcPr>
          <w:p w14:paraId="370BC22A" w14:textId="77777777" w:rsidR="005A0821" w:rsidRPr="004000F0" w:rsidRDefault="005A0821" w:rsidP="005A0821">
            <w:r w:rsidRPr="004000F0">
              <w:t>No statistically significant difference in overall survival was observed between the two groups.</w:t>
            </w:r>
          </w:p>
        </w:tc>
      </w:tr>
      <w:tr w:rsidR="005A0821" w:rsidRPr="004000F0" w14:paraId="33FB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E0AF" w14:textId="77777777" w:rsidR="005A0821" w:rsidRPr="004000F0" w:rsidRDefault="005A0821" w:rsidP="005A0821">
            <w:r w:rsidRPr="004000F0">
              <w:t>Trend</w:t>
            </w:r>
          </w:p>
        </w:tc>
        <w:tc>
          <w:tcPr>
            <w:tcW w:w="0" w:type="auto"/>
            <w:vAlign w:val="center"/>
            <w:hideMark/>
          </w:tcPr>
          <w:p w14:paraId="7A308F6F" w14:textId="77777777" w:rsidR="005A0821" w:rsidRPr="004000F0" w:rsidRDefault="005A0821" w:rsidP="005A0821">
            <w:r w:rsidRPr="004000F0">
              <w:t>A trend toward longer overall survival was observed in the pembrolizumab group.</w:t>
            </w:r>
          </w:p>
        </w:tc>
      </w:tr>
      <w:tr w:rsidR="005A0821" w:rsidRPr="004000F0" w14:paraId="131F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0027" w14:textId="77777777" w:rsidR="005A0821" w:rsidRPr="004000F0" w:rsidRDefault="005A0821" w:rsidP="005A0821">
            <w:r w:rsidRPr="004000F0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B6EC244" w14:textId="77777777" w:rsidR="005A0821" w:rsidRPr="004000F0" w:rsidRDefault="005A0821" w:rsidP="005A0821">
            <w:r w:rsidRPr="004000F0">
              <w:t xml:space="preserve">This finding may </w:t>
            </w:r>
            <w:r w:rsidRPr="00095BEC">
              <w:rPr>
                <w:b/>
                <w:bCs/>
              </w:rPr>
              <w:t>be partly attributable to</w:t>
            </w:r>
            <w:r w:rsidRPr="004000F0">
              <w:t xml:space="preserve"> the limited sample size.</w:t>
            </w:r>
          </w:p>
        </w:tc>
      </w:tr>
    </w:tbl>
    <w:p w14:paraId="3C578CCB" w14:textId="77777777" w:rsidR="005A0821" w:rsidRPr="004000F0" w:rsidRDefault="00000000" w:rsidP="005A0821">
      <w:r w:rsidRPr="004000F0">
        <w:pict w14:anchorId="740361C2">
          <v:rect id="_x0000_i1035" style="width:0;height:1.5pt" o:hralign="center" o:hrstd="t" o:hr="t" fillcolor="#a0a0a0" stroked="f"/>
        </w:pict>
      </w:r>
    </w:p>
    <w:p w14:paraId="05C12184" w14:textId="77777777" w:rsidR="005A0821" w:rsidRPr="004000F0" w:rsidRDefault="005A0821" w:rsidP="005A0821">
      <w:r w:rsidRPr="004000F0">
        <w:t>IX. Summary Statements for the End of the Results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7899"/>
      </w:tblGrid>
      <w:tr w:rsidR="005A0821" w:rsidRPr="004000F0" w14:paraId="0885C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F694B" w14:textId="77777777" w:rsidR="005A0821" w:rsidRPr="004000F0" w:rsidRDefault="005A0821" w:rsidP="005A0821">
            <w:r w:rsidRPr="004000F0"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7EE73FC1" w14:textId="77777777" w:rsidR="005A0821" w:rsidRPr="004000F0" w:rsidRDefault="005A0821" w:rsidP="005A0821">
            <w:r w:rsidRPr="004000F0">
              <w:t>Common Results Statements</w:t>
            </w:r>
          </w:p>
        </w:tc>
      </w:tr>
      <w:tr w:rsidR="005A0821" w:rsidRPr="004000F0" w14:paraId="1518D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3CDE" w14:textId="77777777" w:rsidR="005A0821" w:rsidRPr="004000F0" w:rsidRDefault="005A0821" w:rsidP="005A0821">
            <w:r w:rsidRPr="004000F0">
              <w:t>Overall summary</w:t>
            </w:r>
          </w:p>
        </w:tc>
        <w:tc>
          <w:tcPr>
            <w:tcW w:w="0" w:type="auto"/>
            <w:vAlign w:val="center"/>
            <w:hideMark/>
          </w:tcPr>
          <w:p w14:paraId="2762D1D6" w14:textId="77777777" w:rsidR="005A0821" w:rsidRPr="004000F0" w:rsidRDefault="005A0821" w:rsidP="005A0821">
            <w:r w:rsidRPr="004000F0">
              <w:t>In summary, pembrolizumab demonstrated favorable efficacy and an acceptable safety profile in patients with non–small cell lung cancer.</w:t>
            </w:r>
          </w:p>
        </w:tc>
      </w:tr>
      <w:tr w:rsidR="005A0821" w:rsidRPr="004000F0" w14:paraId="55D9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DBFD" w14:textId="77777777" w:rsidR="005A0821" w:rsidRPr="004000F0" w:rsidRDefault="005A0821" w:rsidP="005A0821">
            <w:r w:rsidRPr="004000F0">
              <w:t>Emphasis</w:t>
            </w:r>
          </w:p>
        </w:tc>
        <w:tc>
          <w:tcPr>
            <w:tcW w:w="0" w:type="auto"/>
            <w:vAlign w:val="center"/>
            <w:hideMark/>
          </w:tcPr>
          <w:p w14:paraId="46416555" w14:textId="77777777" w:rsidR="005A0821" w:rsidRPr="004000F0" w:rsidRDefault="005A0821" w:rsidP="005A0821">
            <w:r w:rsidRPr="004000F0">
              <w:t>These findings support pembrolizumab as an effective treatment option for this patient population.</w:t>
            </w:r>
          </w:p>
        </w:tc>
      </w:tr>
      <w:tr w:rsidR="005A0821" w:rsidRPr="004000F0" w14:paraId="6B111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BA62" w14:textId="77777777" w:rsidR="005A0821" w:rsidRPr="004000F0" w:rsidRDefault="005A0821" w:rsidP="005A0821">
            <w:r w:rsidRPr="004000F0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28DF588" w14:textId="77777777" w:rsidR="005A0821" w:rsidRPr="004000F0" w:rsidRDefault="005A0821" w:rsidP="005A0821">
            <w:r w:rsidRPr="004000F0">
              <w:t xml:space="preserve">These results </w:t>
            </w:r>
            <w:r w:rsidRPr="004A168D">
              <w:rPr>
                <w:b/>
                <w:bCs/>
              </w:rPr>
              <w:t>provide a basis for further investigation</w:t>
            </w:r>
            <w:r w:rsidRPr="004000F0">
              <w:t xml:space="preserve"> of the long-term benefits of pembrolizumab.</w:t>
            </w:r>
          </w:p>
        </w:tc>
      </w:tr>
    </w:tbl>
    <w:p w14:paraId="08CC38ED" w14:textId="77777777" w:rsidR="005A0821" w:rsidRPr="004000F0" w:rsidRDefault="00000000" w:rsidP="005A0821">
      <w:r w:rsidRPr="004000F0">
        <w:pict w14:anchorId="40CA3A79">
          <v:rect id="_x0000_i1036" style="width:0;height:1.5pt" o:hralign="center" o:hrstd="t" o:hr="t" fillcolor="#a0a0a0" stroked="f"/>
        </w:pict>
      </w:r>
    </w:p>
    <w:p w14:paraId="699434BA" w14:textId="3AD51D11" w:rsidR="00386D68" w:rsidRPr="004000F0" w:rsidRDefault="005A0821" w:rsidP="005B4A98">
      <w:r w:rsidRPr="004000F0">
        <w:rPr>
          <w:rFonts w:ascii="Segoe UI Emoji" w:hAnsi="Segoe UI Emoji" w:cs="Segoe UI Emoji" w:hint="eastAsia"/>
        </w:rPr>
        <w:t xml:space="preserve"> </w:t>
      </w:r>
    </w:p>
    <w:sectPr w:rsidR="00386D68" w:rsidRPr="00400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68"/>
    <w:rsid w:val="00001B91"/>
    <w:rsid w:val="00011EA9"/>
    <w:rsid w:val="00025349"/>
    <w:rsid w:val="00026851"/>
    <w:rsid w:val="00045ACF"/>
    <w:rsid w:val="00095BEC"/>
    <w:rsid w:val="00100858"/>
    <w:rsid w:val="001E4273"/>
    <w:rsid w:val="00222B85"/>
    <w:rsid w:val="0037625D"/>
    <w:rsid w:val="00384CAF"/>
    <w:rsid w:val="00386D68"/>
    <w:rsid w:val="00386DFD"/>
    <w:rsid w:val="003972E0"/>
    <w:rsid w:val="004000F0"/>
    <w:rsid w:val="004A168D"/>
    <w:rsid w:val="004C2621"/>
    <w:rsid w:val="005643A9"/>
    <w:rsid w:val="005A0821"/>
    <w:rsid w:val="005A53C6"/>
    <w:rsid w:val="005B4A98"/>
    <w:rsid w:val="006E5C52"/>
    <w:rsid w:val="00735C01"/>
    <w:rsid w:val="007B4C19"/>
    <w:rsid w:val="0092751D"/>
    <w:rsid w:val="00937DE3"/>
    <w:rsid w:val="00996673"/>
    <w:rsid w:val="00A177EB"/>
    <w:rsid w:val="00AA35B6"/>
    <w:rsid w:val="00AC0688"/>
    <w:rsid w:val="00B111EE"/>
    <w:rsid w:val="00BB4985"/>
    <w:rsid w:val="00BC3975"/>
    <w:rsid w:val="00C80B3E"/>
    <w:rsid w:val="00CB067F"/>
    <w:rsid w:val="00CD7E77"/>
    <w:rsid w:val="00D60C0C"/>
    <w:rsid w:val="00DF16F3"/>
    <w:rsid w:val="00E222CF"/>
    <w:rsid w:val="00E4453A"/>
    <w:rsid w:val="00F17EB7"/>
    <w:rsid w:val="00F45DA9"/>
    <w:rsid w:val="00F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4C73"/>
  <w15:chartTrackingRefBased/>
  <w15:docId w15:val="{D70DE717-9D99-4888-9DC3-47792137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D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0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10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36</cp:revision>
  <dcterms:created xsi:type="dcterms:W3CDTF">2026-01-23T17:48:00Z</dcterms:created>
  <dcterms:modified xsi:type="dcterms:W3CDTF">2026-01-25T00:22:00Z</dcterms:modified>
</cp:coreProperties>
</file>