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7717" w14:textId="1F02F41E" w:rsidR="002231FA" w:rsidRPr="001C01C2" w:rsidRDefault="002231FA" w:rsidP="00995E26">
      <w:pPr>
        <w:jc w:val="both"/>
        <w:rPr>
          <w:rFonts w:ascii="Times New Roman" w:eastAsia="Times New Roman" w:hAnsi="Times New Roman" w:cs="Times New Roman"/>
          <w:b/>
        </w:rPr>
      </w:pPr>
      <w:r w:rsidRPr="001C01C2">
        <w:rPr>
          <w:rFonts w:ascii="Times New Roman" w:eastAsia="Times New Roman" w:hAnsi="Times New Roman" w:cs="Times New Roman"/>
          <w:b/>
        </w:rPr>
        <w:t>Self-assessment of conformance to the Ten Simple Rules of Credible Practice in Modeling and Simulation in Healthcare</w:t>
      </w:r>
    </w:p>
    <w:p w14:paraId="4AF7FD64" w14:textId="77777777" w:rsidR="00182BC6" w:rsidRPr="001C01C2" w:rsidRDefault="00182BC6" w:rsidP="00995E26">
      <w:pPr>
        <w:jc w:val="both"/>
        <w:rPr>
          <w:rFonts w:ascii="Times New Roman" w:eastAsia="Times New Roman" w:hAnsi="Times New Roman" w:cs="Times New Roman"/>
          <w:b/>
        </w:rPr>
      </w:pPr>
    </w:p>
    <w:p w14:paraId="6458F54D" w14:textId="7A5064C3" w:rsidR="00EC447D" w:rsidRDefault="00892E04" w:rsidP="00995E26">
      <w:pPr>
        <w:jc w:val="both"/>
        <w:rPr>
          <w:rFonts w:ascii="Times New Roman" w:eastAsia="Times New Roman" w:hAnsi="Times New Roman" w:cs="Times New Roman"/>
        </w:rPr>
      </w:pPr>
      <w:r w:rsidRPr="00892E04">
        <w:rPr>
          <w:rFonts w:ascii="Times New Roman" w:eastAsia="Times New Roman" w:hAnsi="Times New Roman" w:cs="Times New Roman"/>
        </w:rPr>
        <w:t>Dynamic and robust control of the liver homeostatic renewal process: Cell network modeling and analysis</w:t>
      </w:r>
    </w:p>
    <w:p w14:paraId="79369342" w14:textId="77777777" w:rsidR="00892E04" w:rsidRPr="001C01C2" w:rsidRDefault="00892E04" w:rsidP="00995E26">
      <w:pPr>
        <w:jc w:val="both"/>
        <w:rPr>
          <w:rFonts w:ascii="Times New Roman" w:eastAsia="Times New Roman" w:hAnsi="Times New Roman" w:cs="Times New Roman"/>
        </w:rPr>
      </w:pPr>
    </w:p>
    <w:p w14:paraId="59137071" w14:textId="1D1E1B61" w:rsidR="00EC447D" w:rsidRPr="001C01C2" w:rsidRDefault="00EC447D" w:rsidP="00995E26">
      <w:pPr>
        <w:jc w:val="both"/>
        <w:rPr>
          <w:rFonts w:ascii="Times New Roman" w:eastAsia="Times New Roman" w:hAnsi="Times New Roman" w:cs="Times New Roman"/>
        </w:rPr>
      </w:pPr>
      <w:r w:rsidRPr="001C01C2">
        <w:rPr>
          <w:rFonts w:ascii="Times New Roman" w:eastAsia="Times New Roman" w:hAnsi="Times New Roman" w:cs="Times New Roman"/>
        </w:rPr>
        <w:t>The following self-assessment is based on the</w:t>
      </w:r>
      <w:r w:rsidR="00925619" w:rsidRPr="001C01C2">
        <w:rPr>
          <w:rFonts w:ascii="Times New Roman" w:eastAsia="Times New Roman" w:hAnsi="Times New Roman" w:cs="Times New Roman"/>
        </w:rPr>
        <w:t xml:space="preserve"> rules specified in </w:t>
      </w:r>
      <w:proofErr w:type="spellStart"/>
      <w:r w:rsidR="00925619" w:rsidRPr="001C01C2">
        <w:rPr>
          <w:rFonts w:ascii="Times New Roman" w:eastAsia="Times New Roman" w:hAnsi="Times New Roman" w:cs="Times New Roman"/>
        </w:rPr>
        <w:t>Erdemir</w:t>
      </w:r>
      <w:proofErr w:type="spellEnd"/>
      <w:r w:rsidR="00925619" w:rsidRPr="001C01C2">
        <w:rPr>
          <w:rFonts w:ascii="Times New Roman" w:eastAsia="Times New Roman" w:hAnsi="Times New Roman" w:cs="Times New Roman"/>
        </w:rPr>
        <w:t xml:space="preserve"> et al. (2020) and the</w:t>
      </w:r>
      <w:r w:rsidRPr="001C01C2">
        <w:rPr>
          <w:rFonts w:ascii="Times New Roman" w:eastAsia="Times New Roman" w:hAnsi="Times New Roman" w:cs="Times New Roman"/>
        </w:rPr>
        <w:t xml:space="preserve"> rubric available at: </w:t>
      </w:r>
      <w:hyperlink r:id="rId4" w:history="1">
        <w:r w:rsidRPr="001C01C2">
          <w:rPr>
            <w:rStyle w:val="Hyperlink"/>
            <w:rFonts w:ascii="Times New Roman" w:eastAsia="Times New Roman" w:hAnsi="Times New Roman" w:cs="Times New Roman"/>
          </w:rPr>
          <w:t>https://www.imagwiki.nibib.nih.gov/content/10-simple-rules-conformance-rubric</w:t>
        </w:r>
      </w:hyperlink>
    </w:p>
    <w:p w14:paraId="00000002" w14:textId="34E3DA37" w:rsidR="009C5CE6" w:rsidRPr="001C01C2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p w14:paraId="243750DD" w14:textId="2D233A9A" w:rsidR="00B94CE2" w:rsidRPr="00985C97" w:rsidRDefault="00B94CE2" w:rsidP="00995E26">
      <w:pPr>
        <w:jc w:val="both"/>
        <w:rPr>
          <w:rFonts w:ascii="Times New Roman" w:eastAsia="Times New Roman" w:hAnsi="Times New Roman" w:cs="Times New Roman"/>
        </w:rPr>
      </w:pPr>
      <w:r w:rsidRPr="00985C97">
        <w:rPr>
          <w:rFonts w:ascii="Times New Roman" w:eastAsia="Times New Roman" w:hAnsi="Times New Roman" w:cs="Times New Roman"/>
        </w:rPr>
        <w:t xml:space="preserve">Date of </w:t>
      </w:r>
      <w:r w:rsidR="002E2E98">
        <w:rPr>
          <w:rFonts w:ascii="Times New Roman" w:eastAsia="Times New Roman" w:hAnsi="Times New Roman" w:cs="Times New Roman"/>
        </w:rPr>
        <w:t>s</w:t>
      </w:r>
      <w:r w:rsidRPr="00985C97">
        <w:rPr>
          <w:rFonts w:ascii="Times New Roman" w:eastAsia="Times New Roman" w:hAnsi="Times New Roman" w:cs="Times New Roman"/>
        </w:rPr>
        <w:t xml:space="preserve">elf-assessment: </w:t>
      </w:r>
      <w:r w:rsidR="00892E04">
        <w:rPr>
          <w:rFonts w:ascii="Times New Roman" w:eastAsia="Times New Roman" w:hAnsi="Times New Roman" w:cs="Times New Roman"/>
        </w:rPr>
        <w:t>August 17, 2022</w:t>
      </w:r>
    </w:p>
    <w:p w14:paraId="611633FD" w14:textId="28C2EB4D" w:rsidR="00EC447D" w:rsidRDefault="00EC447D" w:rsidP="00995E26">
      <w:pPr>
        <w:jc w:val="both"/>
        <w:rPr>
          <w:rFonts w:ascii="Times New Roman" w:eastAsia="Times New Roman" w:hAnsi="Times New Roman" w:cs="Times New Roman"/>
        </w:rPr>
      </w:pPr>
    </w:p>
    <w:p w14:paraId="58C9C2F6" w14:textId="750376B4" w:rsidR="00D62636" w:rsidRPr="001C01C2" w:rsidRDefault="00D62636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files and documentation: </w:t>
      </w:r>
      <w:hyperlink r:id="rId5" w:history="1">
        <w:r w:rsidRPr="009C79AD">
          <w:rPr>
            <w:rStyle w:val="Hyperlink"/>
            <w:rFonts w:ascii="Times New Roman" w:eastAsia="Times New Roman" w:hAnsi="Times New Roman" w:cs="Times New Roman"/>
          </w:rPr>
          <w:t>https://github.com/amanchel/LiverHomeostaticRenewalModel</w:t>
        </w:r>
      </w:hyperlink>
    </w:p>
    <w:p w14:paraId="084DC295" w14:textId="77777777" w:rsidR="00B94CE2" w:rsidRDefault="00B94CE2" w:rsidP="00995E26">
      <w:pPr>
        <w:jc w:val="both"/>
        <w:rPr>
          <w:rFonts w:ascii="Times New Roman" w:eastAsia="Times New Roman" w:hAnsi="Times New Roman" w:cs="Times New Roman"/>
        </w:rPr>
      </w:pPr>
    </w:p>
    <w:p w14:paraId="00000004" w14:textId="1EEF7D24" w:rsidR="009C5CE6" w:rsidRPr="00182BC6" w:rsidRDefault="00B40BB9" w:rsidP="00995E26">
      <w:pPr>
        <w:jc w:val="both"/>
        <w:rPr>
          <w:rFonts w:ascii="Times New Roman" w:eastAsia="Times New Roman" w:hAnsi="Times New Roman" w:cs="Times New Roman"/>
          <w:b/>
        </w:rPr>
      </w:pPr>
      <w:r w:rsidRPr="00182BC6">
        <w:rPr>
          <w:rFonts w:ascii="Times New Roman" w:eastAsia="Times New Roman" w:hAnsi="Times New Roman" w:cs="Times New Roman"/>
          <w:b/>
          <w:u w:val="single"/>
        </w:rPr>
        <w:t>Rule 1:</w:t>
      </w:r>
      <w:r w:rsidR="00182BC6" w:rsidRPr="00182BC6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182BC6">
        <w:rPr>
          <w:rFonts w:ascii="Times New Roman" w:eastAsia="Times New Roman" w:hAnsi="Times New Roman" w:cs="Times New Roman"/>
          <w:b/>
          <w:u w:val="single"/>
        </w:rPr>
        <w:t xml:space="preserve">Define </w:t>
      </w:r>
      <w:r w:rsidR="00182BC6">
        <w:rPr>
          <w:rFonts w:ascii="Times New Roman" w:eastAsia="Times New Roman" w:hAnsi="Times New Roman" w:cs="Times New Roman"/>
          <w:b/>
          <w:u w:val="single"/>
        </w:rPr>
        <w:t>c</w:t>
      </w:r>
      <w:r w:rsidRPr="00182BC6">
        <w:rPr>
          <w:rFonts w:ascii="Times New Roman" w:eastAsia="Times New Roman" w:hAnsi="Times New Roman" w:cs="Times New Roman"/>
          <w:b/>
          <w:u w:val="single"/>
        </w:rPr>
        <w:t>ontext</w:t>
      </w:r>
      <w:r w:rsidR="00182BC6" w:rsidRPr="00182BC6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82BC6">
        <w:rPr>
          <w:rFonts w:ascii="Times New Roman" w:eastAsia="Times New Roman" w:hAnsi="Times New Roman" w:cs="Times New Roman"/>
          <w:b/>
          <w:u w:val="single"/>
        </w:rPr>
        <w:t>c</w:t>
      </w:r>
      <w:r w:rsidR="00182BC6" w:rsidRPr="00182BC6">
        <w:rPr>
          <w:rFonts w:ascii="Times New Roman" w:eastAsia="Times New Roman" w:hAnsi="Times New Roman" w:cs="Times New Roman"/>
          <w:b/>
          <w:u w:val="single"/>
        </w:rPr>
        <w:t>learly</w:t>
      </w:r>
      <w:r w:rsidRPr="00182BC6">
        <w:rPr>
          <w:rFonts w:ascii="Times New Roman" w:eastAsia="Times New Roman" w:hAnsi="Times New Roman" w:cs="Times New Roman"/>
          <w:b/>
          <w:u w:val="single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182BC6" w:rsidRPr="00182BC6">
        <w:rPr>
          <w:rFonts w:ascii="Times New Roman" w:eastAsia="Times New Roman" w:hAnsi="Times New Roman" w:cs="Times New Roman"/>
        </w:rPr>
        <w:t>Develop and document the subject, purpose, and intended use(s) of the model or simulation</w:t>
      </w:r>
      <w:r w:rsidR="00AB51DA">
        <w:rPr>
          <w:rFonts w:ascii="Times New Roman" w:eastAsia="Times New Roman" w:hAnsi="Times New Roman" w:cs="Times New Roman"/>
        </w:rPr>
        <w:t>.</w:t>
      </w:r>
    </w:p>
    <w:p w14:paraId="1BBAD029" w14:textId="77777777" w:rsidR="00995E26" w:rsidRDefault="00995E26" w:rsidP="00995E26">
      <w:pPr>
        <w:jc w:val="both"/>
        <w:rPr>
          <w:rFonts w:ascii="Times New Roman" w:eastAsia="Times New Roman" w:hAnsi="Times New Roman" w:cs="Times New Roman"/>
          <w:b/>
        </w:rPr>
      </w:pPr>
    </w:p>
    <w:p w14:paraId="00000005" w14:textId="6183E37B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 w:rsidR="00182BC6">
        <w:rPr>
          <w:rFonts w:ascii="Times New Roman" w:eastAsia="Times New Roman" w:hAnsi="Times New Roman" w:cs="Times New Roman"/>
        </w:rPr>
        <w:t>Comprehensive</w:t>
      </w:r>
    </w:p>
    <w:p w14:paraId="1EE4AED0" w14:textId="77777777" w:rsidR="00995E26" w:rsidRDefault="00995E26" w:rsidP="00995E26">
      <w:pPr>
        <w:jc w:val="both"/>
        <w:rPr>
          <w:rFonts w:ascii="Times New Roman" w:eastAsia="Times New Roman" w:hAnsi="Times New Roman" w:cs="Times New Roman"/>
          <w:b/>
        </w:rPr>
      </w:pPr>
    </w:p>
    <w:p w14:paraId="7C797013" w14:textId="79C580ED" w:rsidR="00CD5281" w:rsidRDefault="00B40BB9" w:rsidP="00A32374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Primary goal of the model/tool/database: </w:t>
      </w:r>
      <w:r w:rsidR="00EC447D">
        <w:rPr>
          <w:rFonts w:ascii="Times New Roman" w:eastAsia="Times New Roman" w:hAnsi="Times New Roman" w:cs="Times New Roman"/>
          <w:bCs/>
        </w:rPr>
        <w:t xml:space="preserve">The primary objective of the modeling study was to </w:t>
      </w:r>
      <w:r w:rsidR="00CD5281">
        <w:rPr>
          <w:rFonts w:ascii="Times New Roman" w:eastAsia="Times New Roman" w:hAnsi="Times New Roman" w:cs="Times New Roman"/>
          <w:bCs/>
        </w:rPr>
        <w:t xml:space="preserve">address </w:t>
      </w:r>
      <w:r w:rsidR="00CD5281" w:rsidRPr="00CD5281">
        <w:rPr>
          <w:rFonts w:ascii="Times New Roman" w:eastAsia="Times New Roman" w:hAnsi="Times New Roman" w:cs="Times New Roman"/>
          <w:bCs/>
        </w:rPr>
        <w:t xml:space="preserve">the molecular and cellular processes controlling liver homeostatic renewal </w:t>
      </w:r>
      <w:r w:rsidR="00CD5281">
        <w:rPr>
          <w:rFonts w:ascii="Times New Roman" w:eastAsia="Times New Roman" w:hAnsi="Times New Roman" w:cs="Times New Roman"/>
          <w:bCs/>
        </w:rPr>
        <w:t>as r</w:t>
      </w:r>
      <w:r w:rsidR="00CD5281" w:rsidRPr="00CD5281">
        <w:rPr>
          <w:rFonts w:ascii="Times New Roman" w:eastAsia="Times New Roman" w:hAnsi="Times New Roman" w:cs="Times New Roman"/>
          <w:bCs/>
        </w:rPr>
        <w:t xml:space="preserve">ecent experimental investigations have identified high replication capacity hepatocyte populations as the primary maintainers of liver mass. </w:t>
      </w:r>
      <w:r w:rsidR="00A32374">
        <w:rPr>
          <w:rFonts w:ascii="Times New Roman" w:eastAsia="Times New Roman" w:hAnsi="Times New Roman" w:cs="Times New Roman"/>
          <w:bCs/>
        </w:rPr>
        <w:t>Therefore, we</w:t>
      </w:r>
      <w:r w:rsidR="00CD5281" w:rsidRPr="00CD5281">
        <w:rPr>
          <w:rFonts w:ascii="Times New Roman" w:eastAsia="Times New Roman" w:hAnsi="Times New Roman" w:cs="Times New Roman"/>
          <w:bCs/>
        </w:rPr>
        <w:t xml:space="preserve"> developed and analyzed a mathematical model describing cellular network interactions underlying liver homeostatic renewal</w:t>
      </w:r>
      <w:r w:rsidR="00640C7F">
        <w:rPr>
          <w:rFonts w:ascii="Times New Roman" w:eastAsia="Times New Roman" w:hAnsi="Times New Roman" w:cs="Times New Roman"/>
          <w:bCs/>
        </w:rPr>
        <w:t xml:space="preserve"> that </w:t>
      </w:r>
      <w:r w:rsidR="00640C7F" w:rsidRPr="00640C7F">
        <w:rPr>
          <w:rFonts w:ascii="Times New Roman" w:eastAsia="Times New Roman" w:hAnsi="Times New Roman" w:cs="Times New Roman"/>
          <w:bCs/>
        </w:rPr>
        <w:t>will enable a quantitative investigation of how different types of feedback control mechanisms influence the dynamics of tissue renewal</w:t>
      </w:r>
      <w:r w:rsidR="00CD5281" w:rsidRPr="00CD5281">
        <w:rPr>
          <w:rFonts w:ascii="Times New Roman" w:eastAsia="Times New Roman" w:hAnsi="Times New Roman" w:cs="Times New Roman"/>
          <w:bCs/>
        </w:rPr>
        <w:t xml:space="preserve">. </w:t>
      </w:r>
      <w:r w:rsidR="00826647">
        <w:rPr>
          <w:rFonts w:ascii="Times New Roman" w:eastAsia="Times New Roman" w:hAnsi="Times New Roman" w:cs="Times New Roman"/>
          <w:bCs/>
        </w:rPr>
        <w:t>We</w:t>
      </w:r>
      <w:r w:rsidR="00CD5281" w:rsidRPr="00CD5281">
        <w:rPr>
          <w:rFonts w:ascii="Times New Roman" w:eastAsia="Times New Roman" w:hAnsi="Times New Roman" w:cs="Times New Roman"/>
          <w:bCs/>
        </w:rPr>
        <w:t xml:space="preserve"> extended our basic model to incorporate putative regulatory interactions and investigated how such interactions may confer robustness on the homeostatic renewal process. </w:t>
      </w:r>
      <w:r w:rsidR="00826647">
        <w:rPr>
          <w:rFonts w:ascii="Times New Roman" w:eastAsia="Times New Roman" w:hAnsi="Times New Roman" w:cs="Times New Roman"/>
          <w:bCs/>
        </w:rPr>
        <w:t xml:space="preserve">Lastly, </w:t>
      </w:r>
      <w:r w:rsidR="00CD5281" w:rsidRPr="00CD5281">
        <w:rPr>
          <w:rFonts w:ascii="Times New Roman" w:eastAsia="Times New Roman" w:hAnsi="Times New Roman" w:cs="Times New Roman"/>
          <w:bCs/>
        </w:rPr>
        <w:t xml:space="preserve">we extended the model to include feedback control by liver non-parenchymal cells. </w:t>
      </w:r>
    </w:p>
    <w:p w14:paraId="00000007" w14:textId="11D3AD0B" w:rsidR="009C5CE6" w:rsidRDefault="00B40BB9" w:rsidP="00CD528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Biological Domain of the Model: </w:t>
      </w:r>
      <w:r w:rsidR="00640C7F">
        <w:rPr>
          <w:rFonts w:ascii="Times New Roman" w:eastAsia="Times New Roman" w:hAnsi="Times New Roman" w:cs="Times New Roman"/>
        </w:rPr>
        <w:t>L</w:t>
      </w:r>
      <w:r w:rsidR="009C44A0" w:rsidRPr="009C44A0">
        <w:rPr>
          <w:rFonts w:ascii="Times New Roman" w:eastAsia="Times New Roman" w:hAnsi="Times New Roman" w:cs="Times New Roman"/>
        </w:rPr>
        <w:t>iver tissue renewal, progenitor cells</w:t>
      </w:r>
    </w:p>
    <w:p w14:paraId="00000008" w14:textId="00A2407D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Structures of the Model</w:t>
      </w:r>
      <w:r>
        <w:rPr>
          <w:rFonts w:ascii="Times New Roman" w:eastAsia="Times New Roman" w:hAnsi="Times New Roman" w:cs="Times New Roman"/>
        </w:rPr>
        <w:t>: Liver</w:t>
      </w:r>
    </w:p>
    <w:p w14:paraId="00000009" w14:textId="6158F05C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Spatial Scales Included in the Model:</w:t>
      </w:r>
      <w:r>
        <w:rPr>
          <w:rFonts w:ascii="Times New Roman" w:eastAsia="Times New Roman" w:hAnsi="Times New Roman" w:cs="Times New Roman"/>
        </w:rPr>
        <w:t xml:space="preserve"> </w:t>
      </w:r>
      <w:r w:rsidR="00A86FA1">
        <w:rPr>
          <w:rFonts w:ascii="Times New Roman" w:eastAsia="Times New Roman" w:hAnsi="Times New Roman" w:cs="Times New Roman"/>
        </w:rPr>
        <w:t>cellular</w:t>
      </w:r>
      <w:r w:rsidR="00EC447D">
        <w:rPr>
          <w:rFonts w:ascii="Times New Roman" w:eastAsia="Times New Roman" w:hAnsi="Times New Roman" w:cs="Times New Roman"/>
        </w:rPr>
        <w:t xml:space="preserve"> (1 to 20 um), </w:t>
      </w:r>
      <w:r w:rsidR="00967018">
        <w:rPr>
          <w:rFonts w:ascii="Times New Roman" w:eastAsia="Times New Roman" w:hAnsi="Times New Roman" w:cs="Times New Roman"/>
        </w:rPr>
        <w:t>tissue (</w:t>
      </w:r>
      <w:r w:rsidR="00E33016">
        <w:rPr>
          <w:rFonts w:ascii="Times New Roman" w:eastAsia="Times New Roman" w:hAnsi="Times New Roman" w:cs="Times New Roman"/>
        </w:rPr>
        <w:t>um to cm</w:t>
      </w:r>
      <w:r w:rsidR="00967018">
        <w:rPr>
          <w:rFonts w:ascii="Times New Roman" w:eastAsia="Times New Roman" w:hAnsi="Times New Roman" w:cs="Times New Roman"/>
        </w:rPr>
        <w:t xml:space="preserve">), </w:t>
      </w:r>
      <w:r w:rsidR="00EC447D">
        <w:rPr>
          <w:rFonts w:ascii="Times New Roman" w:eastAsia="Times New Roman" w:hAnsi="Times New Roman" w:cs="Times New Roman"/>
        </w:rPr>
        <w:t>systemic/organ (cm to m)</w:t>
      </w:r>
    </w:p>
    <w:p w14:paraId="0000000A" w14:textId="49D34D39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Scales Included in the Model: </w:t>
      </w:r>
      <w:r>
        <w:rPr>
          <w:rFonts w:ascii="Times New Roman" w:eastAsia="Times New Roman" w:hAnsi="Times New Roman" w:cs="Times New Roman"/>
        </w:rPr>
        <w:t xml:space="preserve">0 to </w:t>
      </w:r>
      <w:r w:rsidR="00640C7F">
        <w:rPr>
          <w:rFonts w:ascii="Times New Roman" w:eastAsia="Times New Roman" w:hAnsi="Times New Roman" w:cs="Times New Roman"/>
        </w:rPr>
        <w:t>400 days</w:t>
      </w:r>
    </w:p>
    <w:p w14:paraId="0000000B" w14:textId="2AE34857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Other uses for the model (optional):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5E82E8" w14:textId="20A3E302" w:rsidR="00182BC6" w:rsidRPr="00B94CE2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Additional comments about the model’s context (optional)</w:t>
      </w:r>
      <w:r>
        <w:rPr>
          <w:rFonts w:ascii="Times New Roman" w:eastAsia="Times New Roman" w:hAnsi="Times New Roman" w:cs="Times New Roman"/>
        </w:rPr>
        <w:t>:</w:t>
      </w:r>
      <w:r w:rsidR="00182BC6"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758D6776" w14:textId="546AC409" w:rsidR="00EC447D" w:rsidRPr="00182BC6" w:rsidRDefault="00B40BB9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Rule </w:t>
      </w:r>
      <w:r w:rsidRPr="00182BC6">
        <w:rPr>
          <w:rFonts w:ascii="Times New Roman" w:eastAsia="Times New Roman" w:hAnsi="Times New Roman" w:cs="Times New Roman"/>
          <w:b/>
          <w:u w:val="single"/>
        </w:rPr>
        <w:t>2:</w:t>
      </w:r>
      <w:r w:rsidR="00182BC6" w:rsidRPr="00182BC6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EC447D" w:rsidRPr="00182BC6">
        <w:rPr>
          <w:rFonts w:ascii="Times New Roman" w:eastAsia="Times New Roman" w:hAnsi="Times New Roman" w:cs="Times New Roman"/>
          <w:b/>
          <w:u w:val="single"/>
        </w:rPr>
        <w:t xml:space="preserve">Use </w:t>
      </w:r>
      <w:r w:rsidR="00182BC6">
        <w:rPr>
          <w:rFonts w:ascii="Times New Roman" w:eastAsia="Times New Roman" w:hAnsi="Times New Roman" w:cs="Times New Roman"/>
          <w:b/>
          <w:u w:val="single"/>
        </w:rPr>
        <w:t>contextually a</w:t>
      </w:r>
      <w:r w:rsidR="00EC447D" w:rsidRPr="00182BC6">
        <w:rPr>
          <w:rFonts w:ascii="Times New Roman" w:eastAsia="Times New Roman" w:hAnsi="Times New Roman" w:cs="Times New Roman"/>
          <w:b/>
          <w:u w:val="single"/>
        </w:rPr>
        <w:t xml:space="preserve">ppropriate </w:t>
      </w:r>
      <w:r w:rsidR="00182BC6">
        <w:rPr>
          <w:rFonts w:ascii="Times New Roman" w:eastAsia="Times New Roman" w:hAnsi="Times New Roman" w:cs="Times New Roman"/>
          <w:b/>
          <w:u w:val="single"/>
        </w:rPr>
        <w:t>d</w:t>
      </w:r>
      <w:r w:rsidR="00EC447D" w:rsidRPr="00182BC6">
        <w:rPr>
          <w:rFonts w:ascii="Times New Roman" w:eastAsia="Times New Roman" w:hAnsi="Times New Roman" w:cs="Times New Roman"/>
          <w:b/>
          <w:u w:val="single"/>
        </w:rPr>
        <w:t>ata</w:t>
      </w:r>
      <w:r w:rsidR="00182BC6" w:rsidRPr="00182BC6">
        <w:rPr>
          <w:rFonts w:ascii="Times New Roman" w:eastAsia="Times New Roman" w:hAnsi="Times New Roman" w:cs="Times New Roman"/>
          <w:b/>
          <w:u w:val="single"/>
        </w:rPr>
        <w:t>:</w:t>
      </w:r>
      <w:r w:rsidR="00182BC6">
        <w:rPr>
          <w:rFonts w:ascii="Times New Roman" w:eastAsia="Times New Roman" w:hAnsi="Times New Roman" w:cs="Times New Roman"/>
          <w:b/>
        </w:rPr>
        <w:t xml:space="preserve"> </w:t>
      </w:r>
      <w:r w:rsidR="00182BC6" w:rsidRPr="00182BC6">
        <w:rPr>
          <w:rFonts w:ascii="Times New Roman" w:eastAsia="Times New Roman" w:hAnsi="Times New Roman" w:cs="Times New Roman"/>
          <w:bCs/>
        </w:rPr>
        <w:t>Employ relevant and traceable information in the development or operation of a model or simulation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4F9D52F2" w14:textId="77777777" w:rsidR="00995E26" w:rsidRDefault="00995E26" w:rsidP="00995E26">
      <w:pPr>
        <w:jc w:val="both"/>
        <w:rPr>
          <w:rFonts w:ascii="Times New Roman" w:eastAsia="Times New Roman" w:hAnsi="Times New Roman" w:cs="Times New Roman"/>
          <w:b/>
        </w:rPr>
      </w:pPr>
    </w:p>
    <w:p w14:paraId="4CC70B75" w14:textId="5D102662" w:rsidR="00EC447D" w:rsidRDefault="00EC447D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 w:rsidR="00182BC6">
        <w:rPr>
          <w:rFonts w:ascii="Times New Roman" w:eastAsia="Times New Roman" w:hAnsi="Times New Roman" w:cs="Times New Roman"/>
        </w:rPr>
        <w:t>Extensive</w:t>
      </w:r>
    </w:p>
    <w:p w14:paraId="0000001E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440"/>
        <w:gridCol w:w="1140"/>
        <w:gridCol w:w="2550"/>
        <w:gridCol w:w="1890"/>
      </w:tblGrid>
      <w:tr w:rsidR="009C5CE6" w14:paraId="217FD24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for building the model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Published?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Private?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How is credibility checked?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907182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Conformance Level</w:t>
            </w:r>
          </w:p>
        </w:tc>
      </w:tr>
      <w:tr w:rsidR="009C5CE6" w14:paraId="3FB2DA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vitro (primary cells cell, lines, etc.)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source data is confirmed to meet detailed data requirements for consistency and source 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D8B98AF" w:rsidR="009C5CE6" w:rsidRDefault="00995E2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9C5CE6" w14:paraId="4B84224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vivo (excised tissues)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0C19A91" w:rsidR="009C5CE6" w:rsidRDefault="00F82D9E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0000002B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6BDC5FB" w:rsidR="009C5CE6" w:rsidRDefault="00F82D9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78F2680" w:rsidR="009C5CE6" w:rsidRDefault="00F82D9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07E13F2D" w:rsidR="009C5CE6" w:rsidRDefault="00F82D9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9C5CE6" w14:paraId="272432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vivo pre-clinical (lower-level organism or small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source data is confirmed to meet detailed data requirements for consistency and source 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4D9476B1" w:rsidR="009C5CE6" w:rsidRDefault="00995E26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9C5CE6" w14:paraId="32C435E0" w14:textId="77777777" w:rsidTr="00995E26">
        <w:trPr>
          <w:trHeight w:val="73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vivo pre-clinical (large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1F7D8616" w:rsidR="009C5CE6" w:rsidRDefault="00995E2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5FC608E0" w:rsidR="009C5CE6" w:rsidRDefault="00995E26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678CAB28" w:rsidR="009C5CE6" w:rsidRDefault="00995E26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1C0D9B3A" w:rsidR="009C5CE6" w:rsidRDefault="00995E26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9C5CE6" w14:paraId="2C53ADC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Human subjects/clinical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186A72C4" w:rsidR="009C5CE6" w:rsidRDefault="00F82D9E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59ACD3F" w:rsidR="009C5CE6" w:rsidRDefault="00F82D9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6AAAEF0D" w:rsidR="009C5CE6" w:rsidRDefault="00F82D9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39FD1334" w:rsidR="009C5CE6" w:rsidRDefault="00F82D9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14:paraId="00000047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p w14:paraId="00000048" w14:textId="367C2115" w:rsidR="00995E26" w:rsidRDefault="00995E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30DFDAA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440"/>
        <w:gridCol w:w="1140"/>
        <w:gridCol w:w="2550"/>
        <w:gridCol w:w="1890"/>
      </w:tblGrid>
      <w:tr w:rsidR="009C5CE6" w14:paraId="213EE8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for validating the model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Published?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Private?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How is credibility checked?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001F3A2A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Conformance Level</w:t>
            </w:r>
          </w:p>
        </w:tc>
      </w:tr>
      <w:tr w:rsidR="002A34E4" w14:paraId="057B0EC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1D139C38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vitro (primary cells cell, lines, etc.)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483B2528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38267A4C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FA9A74F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source data is confirmed to meet detailed data requirements for consistency and source 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3B24461A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2A34E4" w14:paraId="5CF224E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5AD03C4C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 vivo (excised tissues)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B1DC" w14:textId="77777777" w:rsidR="002A34E4" w:rsidRDefault="002A34E4" w:rsidP="002A3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  <w:p w14:paraId="00000054" w14:textId="01A61C56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02B54169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1EEC4E2B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3AFAD937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2A34E4" w14:paraId="507FB35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B468782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vivo pre-clinical (lower-level organism or small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5ECF2958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4967B26F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51C424EC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source data is confirmed to meet detailed data requirements for consistency and source 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04BAD1AB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2A34E4" w14:paraId="4E1044F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3ADB7990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vivo pre-clinical (large animal)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10D36D32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1A10CF83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11F59ED9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16DB9E89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2A34E4" w14:paraId="61324C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5EE86992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Human subjects/clinical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1394F34F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3A9FEADC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22BF3C8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3B60B0AD" w:rsidR="002A34E4" w:rsidRDefault="002A34E4" w:rsidP="002A34E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</w:tbl>
    <w:p w14:paraId="00000067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p w14:paraId="00000068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5FF969A" w14:textId="77777777" w:rsidR="00182BC6" w:rsidRDefault="00182BC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07C" w14:textId="6106940E" w:rsidR="009C5CE6" w:rsidRDefault="00B40BB9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Rule 3:</w:t>
      </w:r>
      <w:r w:rsidR="00182BC6">
        <w:rPr>
          <w:rFonts w:ascii="Times New Roman" w:eastAsia="Times New Roman" w:hAnsi="Times New Roman" w:cs="Times New Roman"/>
          <w:b/>
          <w:u w:val="single"/>
        </w:rPr>
        <w:t xml:space="preserve"> Evaluate within context:</w:t>
      </w:r>
      <w:r w:rsidR="00182BC6" w:rsidRPr="00182BC6">
        <w:rPr>
          <w:rFonts w:ascii="Times New Roman" w:eastAsia="Times New Roman" w:hAnsi="Times New Roman" w:cs="Times New Roman"/>
          <w:bCs/>
        </w:rPr>
        <w:t xml:space="preserve"> Perform verification, validation, uncertainty quantification, and sensitivity analysis of the model or simulation with respect to the reality of interest and intended use(s) of the model or simulation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75446CD5" w14:textId="77777777" w:rsidR="00995E26" w:rsidRDefault="00995E26" w:rsidP="00995E26">
      <w:pPr>
        <w:jc w:val="both"/>
        <w:rPr>
          <w:rFonts w:ascii="Times New Roman" w:eastAsia="Times New Roman" w:hAnsi="Times New Roman" w:cs="Times New Roman"/>
          <w:b/>
        </w:rPr>
      </w:pPr>
    </w:p>
    <w:p w14:paraId="42D5074E" w14:textId="767157DB" w:rsidR="00182BC6" w:rsidRDefault="00182BC6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>
        <w:rPr>
          <w:rFonts w:ascii="Times New Roman" w:eastAsia="Times New Roman" w:hAnsi="Times New Roman" w:cs="Times New Roman"/>
        </w:rPr>
        <w:t>Extensive</w:t>
      </w:r>
    </w:p>
    <w:p w14:paraId="0000007D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1"/>
        <w:tblW w:w="9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2055"/>
        <w:gridCol w:w="1680"/>
        <w:gridCol w:w="1845"/>
        <w:gridCol w:w="2505"/>
      </w:tblGrid>
      <w:tr w:rsidR="009C5CE6" w14:paraId="61BB764D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Who Does It?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When does it happen?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How is it done?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313A7E0C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Conformance Level</w:t>
            </w:r>
          </w:p>
        </w:tc>
      </w:tr>
      <w:tr w:rsidR="009C5CE6" w14:paraId="6FB654C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Verification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Developer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During development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217E99A3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Comparison of model output with </w:t>
            </w:r>
            <w:r w:rsidR="00995E26">
              <w:rPr>
                <w:rFonts w:ascii="Times New Roman" w:eastAsia="Times New Roman" w:hAnsi="Times New Roman" w:cs="Times New Roman"/>
              </w:rPr>
              <w:t>published data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9C5CE6" w14:paraId="40DED98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Validation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 Member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During development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6A5F2F10" w:rsidR="009C5CE6" w:rsidRDefault="006E59F5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 w:rsidR="00B40BB9">
              <w:rPr>
                <w:rFonts w:ascii="Times New Roman" w:eastAsia="Times New Roman" w:hAnsi="Times New Roman" w:cs="Times New Roman"/>
              </w:rPr>
              <w:t>odel was used to reproduce simulations and figures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364DB672" w:rsidR="009C5CE6" w:rsidRDefault="006E59F5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9C5CE6" w14:paraId="404B6F99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Uncertainty Quantification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performs uncertainty quantification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Can be performed every time the model is run for a new scenario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discretion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Adequate</w:t>
            </w:r>
          </w:p>
        </w:tc>
      </w:tr>
      <w:tr w:rsidR="009C5CE6" w14:paraId="290527D6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Sensitivity Analysis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performs sensitivity analysis on influential parameters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 be performed after every new simulation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discretion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Adequate</w:t>
            </w:r>
          </w:p>
        </w:tc>
      </w:tr>
    </w:tbl>
    <w:p w14:paraId="00000097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8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9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A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B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C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D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E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9F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A0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A1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A2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A3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A4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A5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7B9BFDF" w14:textId="77777777" w:rsidR="00182BC6" w:rsidRDefault="00182BC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0AB" w14:textId="0F9EFAC2" w:rsidR="009C5CE6" w:rsidRDefault="00B40BB9" w:rsidP="00995E26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Rule 4:</w:t>
      </w:r>
      <w:r w:rsidR="00182BC6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82BC6" w:rsidRPr="00182BC6">
        <w:rPr>
          <w:rFonts w:ascii="Times New Roman" w:eastAsia="Times New Roman" w:hAnsi="Times New Roman" w:cs="Times New Roman"/>
          <w:b/>
          <w:u w:val="single"/>
        </w:rPr>
        <w:t>List limitations explicitly</w:t>
      </w:r>
      <w:r w:rsidR="00182BC6">
        <w:rPr>
          <w:rFonts w:ascii="Times New Roman" w:eastAsia="Times New Roman" w:hAnsi="Times New Roman" w:cs="Times New Roman"/>
          <w:b/>
          <w:u w:val="single"/>
        </w:rPr>
        <w:t>:</w:t>
      </w:r>
      <w:r w:rsidR="00182BC6" w:rsidRPr="00AB51DA">
        <w:rPr>
          <w:rFonts w:ascii="Times New Roman" w:eastAsia="Times New Roman" w:hAnsi="Times New Roman" w:cs="Times New Roman"/>
          <w:b/>
        </w:rPr>
        <w:t xml:space="preserve"> </w:t>
      </w:r>
      <w:r w:rsidR="00182BC6" w:rsidRPr="00182BC6">
        <w:rPr>
          <w:rFonts w:ascii="Times New Roman" w:eastAsia="Times New Roman" w:hAnsi="Times New Roman" w:cs="Times New Roman"/>
          <w:bCs/>
        </w:rPr>
        <w:t>Provide restrictions, constraints, or qualifications for or on the use of the model or simulation for consideration by the users or customers of a model or simulation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35617279" w14:textId="77777777" w:rsidR="00995E26" w:rsidRDefault="00995E26" w:rsidP="00995E26">
      <w:pPr>
        <w:jc w:val="both"/>
        <w:rPr>
          <w:rFonts w:ascii="Times New Roman" w:eastAsia="Times New Roman" w:hAnsi="Times New Roman" w:cs="Times New Roman"/>
          <w:b/>
        </w:rPr>
      </w:pPr>
    </w:p>
    <w:p w14:paraId="5C6C1069" w14:textId="7A0CC21E" w:rsidR="00182BC6" w:rsidRDefault="00182BC6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 w:rsidR="0010362E">
        <w:rPr>
          <w:rFonts w:ascii="Times New Roman" w:eastAsia="Times New Roman" w:hAnsi="Times New Roman" w:cs="Times New Roman"/>
        </w:rPr>
        <w:t>Extensive</w:t>
      </w:r>
    </w:p>
    <w:p w14:paraId="000000AC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1800"/>
        <w:gridCol w:w="2160"/>
        <w:gridCol w:w="1630"/>
      </w:tblGrid>
      <w:tr w:rsidR="009C5CE6" w14:paraId="45D5FBC2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Disclaimer statement (explain key limitations)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Who needs to know about this disclaimer?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How is this disclaimer shared with that audience?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6B32DF1B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Conformance Level</w:t>
            </w:r>
          </w:p>
        </w:tc>
      </w:tr>
      <w:tr w:rsidR="009C5CE6" w14:paraId="3D28121A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08372D5F" w:rsidR="009C5CE6" w:rsidRDefault="00E247B5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247B5">
              <w:rPr>
                <w:rFonts w:ascii="Times New Roman" w:eastAsia="Times New Roman" w:hAnsi="Times New Roman" w:cs="Times New Roman"/>
              </w:rPr>
              <w:t>Highly self-renewing hepatocytes, while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247B5">
              <w:rPr>
                <w:rFonts w:ascii="Times New Roman" w:eastAsia="Times New Roman" w:hAnsi="Times New Roman" w:cs="Times New Roman"/>
              </w:rPr>
              <w:t>composed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247B5"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247B5">
              <w:rPr>
                <w:rFonts w:ascii="Times New Roman" w:eastAsia="Times New Roman" w:hAnsi="Times New Roman" w:cs="Times New Roman"/>
              </w:rPr>
              <w:t>different subpopulations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247B5">
              <w:rPr>
                <w:rFonts w:ascii="Times New Roman" w:eastAsia="Times New Roman" w:hAnsi="Times New Roman" w:cs="Times New Roman"/>
              </w:rPr>
              <w:t>distributed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247B5">
              <w:rPr>
                <w:rFonts w:ascii="Times New Roman" w:eastAsia="Times New Roman" w:hAnsi="Times New Roman" w:cs="Times New Roman"/>
              </w:rPr>
              <w:t xml:space="preserve">spatially across the periportal, pericentral, and </w:t>
            </w:r>
            <w:proofErr w:type="spellStart"/>
            <w:r w:rsidRPr="00E247B5">
              <w:rPr>
                <w:rFonts w:ascii="Times New Roman" w:eastAsia="Times New Roman" w:hAnsi="Times New Roman" w:cs="Times New Roman"/>
              </w:rPr>
              <w:t>midlobular</w:t>
            </w:r>
            <w:proofErr w:type="spellEnd"/>
            <w:r w:rsidRPr="00E247B5">
              <w:rPr>
                <w:rFonts w:ascii="Times New Roman" w:eastAsia="Times New Roman" w:hAnsi="Times New Roman" w:cs="Times New Roman"/>
              </w:rPr>
              <w:t xml:space="preserve"> regions of liver lobule, can be lumped into a single population of cells with high self-renewal (</w:t>
            </w:r>
            <w:proofErr w:type="spellStart"/>
            <w:r w:rsidRPr="00E247B5">
              <w:rPr>
                <w:rFonts w:ascii="Times New Roman" w:eastAsia="Times New Roman" w:hAnsi="Times New Roman" w:cs="Times New Roman"/>
              </w:rPr>
              <w:t>SRhigh</w:t>
            </w:r>
            <w:proofErr w:type="spellEnd"/>
            <w:r w:rsidRPr="00E247B5">
              <w:rPr>
                <w:rFonts w:ascii="Times New Roman" w:eastAsia="Times New Roman" w:hAnsi="Times New Roman" w:cs="Times New Roman"/>
              </w:rPr>
              <w:t>).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E0FF629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Stated explicitly in the </w:t>
            </w:r>
            <w:r w:rsidR="00E247B5">
              <w:rPr>
                <w:rFonts w:ascii="Times New Roman" w:eastAsia="Times New Roman" w:hAnsi="Times New Roman" w:cs="Times New Roman"/>
              </w:rPr>
              <w:t>supplemental</w:t>
            </w:r>
            <w:r>
              <w:rPr>
                <w:rFonts w:ascii="Times New Roman" w:eastAsia="Times New Roman" w:hAnsi="Times New Roman" w:cs="Times New Roman"/>
              </w:rPr>
              <w:t xml:space="preserve"> 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150DF40" w:rsidR="009C5CE6" w:rsidRDefault="0010362E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9C5CE6" w14:paraId="454B3401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41698FE8" w:rsidR="009C5CE6" w:rsidRDefault="00967018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7018">
              <w:rPr>
                <w:rFonts w:ascii="Times New Roman" w:eastAsia="Times New Roman" w:hAnsi="Times New Roman" w:cs="Times New Roman"/>
              </w:rPr>
              <w:t>Liver lobules are essentially repeating units. Therefore, simulating renewal of hepatocytes in one lobule is the same as simulating the renewal of hepatocytes in the whole liver.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80B8789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Stated explicitly in the </w:t>
            </w:r>
            <w:r w:rsidR="00E247B5">
              <w:rPr>
                <w:rFonts w:ascii="Times New Roman" w:eastAsia="Times New Roman" w:hAnsi="Times New Roman" w:cs="Times New Roman"/>
              </w:rPr>
              <w:t xml:space="preserve">supplemental </w:t>
            </w: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5A3E2D21" w:rsidR="009C5CE6" w:rsidRDefault="0010362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9C5CE6" w14:paraId="7116EBEB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61798C9F" w:rsidR="009C5CE6" w:rsidRDefault="00967018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7018">
              <w:rPr>
                <w:rFonts w:ascii="Times New Roman" w:eastAsia="Times New Roman" w:hAnsi="Times New Roman" w:cs="Times New Roman"/>
              </w:rPr>
              <w:t xml:space="preserve">Populations of hepatocytes can be grouped into two general phenotypes: </w:t>
            </w:r>
            <w:proofErr w:type="spellStart"/>
            <w:r w:rsidRPr="00967018">
              <w:rPr>
                <w:rFonts w:ascii="Times New Roman" w:eastAsia="Times New Roman" w:hAnsi="Times New Roman" w:cs="Times New Roman"/>
              </w:rPr>
              <w:t>SRhigh</w:t>
            </w:r>
            <w:proofErr w:type="spellEnd"/>
            <w:r w:rsidRPr="00967018">
              <w:rPr>
                <w:rFonts w:ascii="Times New Roman" w:eastAsia="Times New Roman" w:hAnsi="Times New Roman" w:cs="Times New Roman"/>
              </w:rPr>
              <w:t xml:space="preserve"> cells and </w:t>
            </w:r>
            <w:proofErr w:type="spellStart"/>
            <w:r w:rsidRPr="00967018">
              <w:rPr>
                <w:rFonts w:ascii="Times New Roman" w:eastAsia="Times New Roman" w:hAnsi="Times New Roman" w:cs="Times New Roman"/>
              </w:rPr>
              <w:t>SRlow</w:t>
            </w:r>
            <w:proofErr w:type="spellEnd"/>
            <w:r w:rsidRPr="00967018">
              <w:rPr>
                <w:rFonts w:ascii="Times New Roman" w:eastAsia="Times New Roman" w:hAnsi="Times New Roman" w:cs="Times New Roman"/>
              </w:rPr>
              <w:t xml:space="preserve"> cells. Cell-type differences for </w:t>
            </w:r>
            <w:proofErr w:type="spellStart"/>
            <w:r w:rsidRPr="00967018">
              <w:rPr>
                <w:rFonts w:ascii="Times New Roman" w:eastAsia="Times New Roman" w:hAnsi="Times New Roman" w:cs="Times New Roman"/>
              </w:rPr>
              <w:t>SRhigh</w:t>
            </w:r>
            <w:proofErr w:type="spellEnd"/>
            <w:r w:rsidRPr="00967018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gramStart"/>
            <w:r w:rsidRPr="00967018">
              <w:rPr>
                <w:rFonts w:ascii="Times New Roman" w:eastAsia="Times New Roman" w:hAnsi="Times New Roman" w:cs="Times New Roman"/>
              </w:rPr>
              <w:t>e.g.</w:t>
            </w:r>
            <w:proofErr w:type="gramEnd"/>
            <w:r w:rsidRPr="00967018">
              <w:rPr>
                <w:rFonts w:ascii="Times New Roman" w:eastAsia="Times New Roman" w:hAnsi="Times New Roman" w:cs="Times New Roman"/>
              </w:rPr>
              <w:t xml:space="preserve"> oval cells vs. hybrid cells) and </w:t>
            </w:r>
            <w:proofErr w:type="spellStart"/>
            <w:r w:rsidRPr="00967018">
              <w:rPr>
                <w:rFonts w:ascii="Times New Roman" w:eastAsia="Times New Roman" w:hAnsi="Times New Roman" w:cs="Times New Roman"/>
              </w:rPr>
              <w:t>SRlow</w:t>
            </w:r>
            <w:proofErr w:type="spellEnd"/>
            <w:r w:rsidRPr="00967018">
              <w:rPr>
                <w:rFonts w:ascii="Times New Roman" w:eastAsia="Times New Roman" w:hAnsi="Times New Roman" w:cs="Times New Roman"/>
              </w:rPr>
              <w:t xml:space="preserve"> (e.g. binuclear vs. mononuclear) populations can be ignored for the present purposes.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6B228339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Stated explicitly in the </w:t>
            </w:r>
            <w:r w:rsidR="00E247B5">
              <w:rPr>
                <w:rFonts w:ascii="Times New Roman" w:eastAsia="Times New Roman" w:hAnsi="Times New Roman" w:cs="Times New Roman"/>
              </w:rPr>
              <w:t xml:space="preserve">supplemental </w:t>
            </w: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6AE0BE66" w:rsidR="009C5CE6" w:rsidRDefault="0010362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9C5CE6" w14:paraId="1765833F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2C63F530" w:rsidR="009C5CE6" w:rsidRDefault="00967018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7018">
              <w:rPr>
                <w:rFonts w:ascii="Times New Roman" w:eastAsia="Times New Roman" w:hAnsi="Times New Roman" w:cs="Times New Roman"/>
              </w:rPr>
              <w:t xml:space="preserve">The transition from an </w:t>
            </w:r>
            <w:proofErr w:type="spellStart"/>
            <w:r w:rsidRPr="00967018">
              <w:rPr>
                <w:rFonts w:ascii="Times New Roman" w:eastAsia="Times New Roman" w:hAnsi="Times New Roman" w:cs="Times New Roman"/>
              </w:rPr>
              <w:t>SRhigh</w:t>
            </w:r>
            <w:proofErr w:type="spellEnd"/>
            <w:r w:rsidRPr="00967018">
              <w:rPr>
                <w:rFonts w:ascii="Times New Roman" w:eastAsia="Times New Roman" w:hAnsi="Times New Roman" w:cs="Times New Roman"/>
              </w:rPr>
              <w:t xml:space="preserve"> to an </w:t>
            </w:r>
            <w:proofErr w:type="spellStart"/>
            <w:r w:rsidRPr="00967018">
              <w:rPr>
                <w:rFonts w:ascii="Times New Roman" w:eastAsia="Times New Roman" w:hAnsi="Times New Roman" w:cs="Times New Roman"/>
              </w:rPr>
              <w:t>SRlow</w:t>
            </w:r>
            <w:proofErr w:type="spellEnd"/>
            <w:r w:rsidRPr="00967018">
              <w:rPr>
                <w:rFonts w:ascii="Times New Roman" w:eastAsia="Times New Roman" w:hAnsi="Times New Roman" w:cs="Times New Roman"/>
              </w:rPr>
              <w:t xml:space="preserve"> cell is irreversible.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1F7ECC11" w:rsidR="009C5CE6" w:rsidRDefault="002A495E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63E2834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Stated explicitly in the </w:t>
            </w:r>
            <w:r w:rsidR="00E247B5">
              <w:rPr>
                <w:rFonts w:ascii="Times New Roman" w:eastAsia="Times New Roman" w:hAnsi="Times New Roman" w:cs="Times New Roman"/>
              </w:rPr>
              <w:t xml:space="preserve">supplemental </w:t>
            </w: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3EAF5701" w:rsidR="009C5CE6" w:rsidRDefault="0010362E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E33016" w14:paraId="5C0AD3E8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1E80" w14:textId="66B393FD" w:rsidR="00E33016" w:rsidRPr="00967018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7018">
              <w:rPr>
                <w:rFonts w:ascii="Times New Roman" w:eastAsia="Times New Roman" w:hAnsi="Times New Roman" w:cs="Times New Roman"/>
              </w:rPr>
              <w:t xml:space="preserve">Cell populations can communicate information about the respective population size across a lobule through resource use, physical </w:t>
            </w:r>
            <w:proofErr w:type="gramStart"/>
            <w:r w:rsidRPr="00967018">
              <w:rPr>
                <w:rFonts w:ascii="Times New Roman" w:eastAsia="Times New Roman" w:hAnsi="Times New Roman" w:cs="Times New Roman"/>
              </w:rPr>
              <w:t>constraints</w:t>
            </w:r>
            <w:proofErr w:type="gramEnd"/>
            <w:r w:rsidRPr="00967018">
              <w:rPr>
                <w:rFonts w:ascii="Times New Roman" w:eastAsia="Times New Roman" w:hAnsi="Times New Roman" w:cs="Times New Roman"/>
              </w:rPr>
              <w:t xml:space="preserve"> and associated cues, or biochemical signaling.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CE0C" w14:textId="488BA6B6" w:rsidR="00E33016" w:rsidRDefault="00E33016" w:rsidP="00E3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6904" w14:textId="30876C75" w:rsidR="00E33016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Stated explicitly in the supplemental 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A34F" w14:textId="70329161" w:rsidR="00E33016" w:rsidRDefault="0010362E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E33016" w14:paraId="5BF9489E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0804" w14:textId="552B1EC7" w:rsidR="00E33016" w:rsidRPr="00967018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7018">
              <w:rPr>
                <w:rFonts w:ascii="Times New Roman" w:eastAsia="Times New Roman" w:hAnsi="Times New Roman" w:cs="Times New Roman"/>
              </w:rPr>
              <w:t>At the tissue scale, the number of functional hepatocytes is so large that the potential stochastic nature of cell proliferation and death can be ignored.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5A05" w14:textId="3110B1F4" w:rsidR="00E33016" w:rsidRDefault="00E33016" w:rsidP="00E3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401E" w14:textId="6887B4EE" w:rsidR="00E33016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Stated explicitly in the supplemental 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919F" w14:textId="252FCA7E" w:rsidR="00E33016" w:rsidRDefault="0010362E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E33016" w14:paraId="6B8280CD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DC37" w14:textId="1CA01EDF" w:rsidR="00E33016" w:rsidRPr="00967018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67018">
              <w:rPr>
                <w:rFonts w:ascii="Times New Roman" w:eastAsia="Times New Roman" w:hAnsi="Times New Roman" w:cs="Times New Roman"/>
              </w:rPr>
              <w:t>During homeostatic renewal in the absence of external stimuli, rates of cell proliferation and cell death are equal.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491" w14:textId="24503DE1" w:rsidR="00E33016" w:rsidRDefault="00E33016" w:rsidP="00E3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1FAA" w14:textId="3562A200" w:rsidR="00E33016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Stated explicitly in the supplemental 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B9AB" w14:textId="5AB9115B" w:rsidR="00E33016" w:rsidRDefault="0010362E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E33016" w14:paraId="03DC4A1D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5433" w14:textId="129D805A" w:rsidR="00E33016" w:rsidRPr="00967018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016">
              <w:rPr>
                <w:rFonts w:ascii="Times New Roman" w:eastAsia="Times New Roman" w:hAnsi="Times New Roman" w:cs="Times New Roman"/>
              </w:rPr>
              <w:lastRenderedPageBreak/>
              <w:t>The process of homeostatic renewal is optimized for robustness to a wide range of stresses rather than for efficient recovery from an individual stress.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0F2E" w14:textId="465D5993" w:rsidR="00E33016" w:rsidRDefault="00E33016" w:rsidP="00E3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2BB4" w14:textId="064244EE" w:rsidR="00E33016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Stated explicitly in the supplemental 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89FB" w14:textId="6DFD8F21" w:rsidR="00E33016" w:rsidRDefault="0010362E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  <w:tr w:rsidR="00E33016" w14:paraId="41E04914" w14:textId="77777777" w:rsidTr="00E247B5"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2BA0" w14:textId="76E2F6B3" w:rsidR="00E33016" w:rsidRPr="00E33016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33016">
              <w:rPr>
                <w:rFonts w:ascii="Times New Roman" w:eastAsia="Times New Roman" w:hAnsi="Times New Roman" w:cs="Times New Roman"/>
              </w:rPr>
              <w:t>Non-parenchymal cells can sense and maintain a memory of hepatocyte population sizes, through currently unknown mechanisms, and respond instantaneously to such population size changes.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699A" w14:textId="6675D292" w:rsidR="00E33016" w:rsidRDefault="00E33016" w:rsidP="00E3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EF91" w14:textId="511C276B" w:rsidR="00E33016" w:rsidRDefault="00E33016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Stated explicitly in the supplemental text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777A" w14:textId="58AF0BD2" w:rsidR="00E33016" w:rsidRDefault="0010362E" w:rsidP="00E3301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</w:p>
        </w:tc>
      </w:tr>
    </w:tbl>
    <w:p w14:paraId="000000C1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2E356AA" w14:textId="77777777" w:rsidR="00182BC6" w:rsidRDefault="00182BC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0C2" w14:textId="56442728" w:rsidR="009C5CE6" w:rsidRDefault="00B40BB9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Rule</w:t>
      </w:r>
      <w:r w:rsidRPr="00995E26">
        <w:rPr>
          <w:rFonts w:ascii="Times New Roman" w:eastAsia="Times New Roman" w:hAnsi="Times New Roman" w:cs="Times New Roman"/>
          <w:b/>
          <w:u w:val="single"/>
        </w:rPr>
        <w:t xml:space="preserve"> 5:</w:t>
      </w:r>
      <w:r w:rsidR="00995E26" w:rsidRPr="00995E26">
        <w:rPr>
          <w:u w:val="single"/>
        </w:rPr>
        <w:t xml:space="preserve"> </w:t>
      </w:r>
      <w:r w:rsidR="00995E26" w:rsidRPr="00995E26">
        <w:rPr>
          <w:rFonts w:ascii="Times New Roman" w:eastAsia="Times New Roman" w:hAnsi="Times New Roman" w:cs="Times New Roman"/>
          <w:b/>
          <w:u w:val="single"/>
        </w:rPr>
        <w:t>Use version control</w:t>
      </w:r>
      <w:r w:rsidR="00995E26">
        <w:rPr>
          <w:rFonts w:ascii="Times New Roman" w:eastAsia="Times New Roman" w:hAnsi="Times New Roman" w:cs="Times New Roman"/>
          <w:b/>
          <w:u w:val="single"/>
        </w:rPr>
        <w:t>:</w:t>
      </w:r>
      <w:r w:rsidR="00995E26" w:rsidRPr="00995E26">
        <w:rPr>
          <w:rFonts w:ascii="Times New Roman" w:eastAsia="Times New Roman" w:hAnsi="Times New Roman" w:cs="Times New Roman"/>
          <w:bCs/>
        </w:rPr>
        <w:t xml:space="preserve"> Implement a system to trace the time history of modeling and simulation activities including delineation of each contributors’ efforts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000000C3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C4" w14:textId="5C863B00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 w:rsidR="00A80D90">
        <w:rPr>
          <w:rFonts w:ascii="Times New Roman" w:eastAsia="Times New Roman" w:hAnsi="Times New Roman" w:cs="Times New Roman"/>
        </w:rPr>
        <w:t>Extensive</w:t>
      </w:r>
    </w:p>
    <w:p w14:paraId="000000C5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C5CE6" w14:paraId="2C68B88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Naming Conventions?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Repository?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Code Review?</w:t>
            </w:r>
          </w:p>
        </w:tc>
      </w:tr>
      <w:tr w:rsidR="009C5CE6" w14:paraId="487B755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individual modeler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581BE482" w:rsidR="009C5CE6" w:rsidRDefault="00911F2E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C5CE6" w14:paraId="43529A0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within the lab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9C5CE6" w14:paraId="52ECA4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collaborators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3CBF750B" w:rsidR="009C5CE6" w:rsidRDefault="00911F2E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67DAEABE" w:rsidR="009C5CE6" w:rsidRDefault="00911F2E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</w:tbl>
    <w:p w14:paraId="000000D6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D7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D8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D9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DA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DB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DC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B67EF4D" w14:textId="77777777" w:rsidR="00911F2E" w:rsidRDefault="00911F2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0DD" w14:textId="4DE145EB" w:rsidR="009C5CE6" w:rsidRDefault="00B40BB9" w:rsidP="00995E26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Rule </w:t>
      </w:r>
      <w:r w:rsidRPr="00CB111E">
        <w:rPr>
          <w:rFonts w:ascii="Times New Roman" w:eastAsia="Times New Roman" w:hAnsi="Times New Roman" w:cs="Times New Roman"/>
          <w:b/>
          <w:u w:val="single"/>
        </w:rPr>
        <w:t>6:</w:t>
      </w:r>
      <w:r w:rsidR="00CB111E" w:rsidRPr="00CB111E">
        <w:rPr>
          <w:u w:val="single"/>
        </w:rPr>
        <w:t xml:space="preserve"> </w:t>
      </w:r>
      <w:r w:rsidR="00CB111E" w:rsidRPr="00CB111E">
        <w:rPr>
          <w:rFonts w:ascii="Times New Roman" w:eastAsia="Times New Roman" w:hAnsi="Times New Roman" w:cs="Times New Roman"/>
          <w:b/>
          <w:u w:val="single"/>
        </w:rPr>
        <w:t>Document appropriately</w:t>
      </w:r>
      <w:r w:rsidR="00CB111E">
        <w:rPr>
          <w:rFonts w:ascii="Times New Roman" w:eastAsia="Times New Roman" w:hAnsi="Times New Roman" w:cs="Times New Roman"/>
          <w:b/>
          <w:u w:val="single"/>
        </w:rPr>
        <w:t>:</w:t>
      </w:r>
      <w:r w:rsidR="00CB111E">
        <w:rPr>
          <w:rFonts w:ascii="Times New Roman" w:eastAsia="Times New Roman" w:hAnsi="Times New Roman" w:cs="Times New Roman"/>
          <w:bCs/>
        </w:rPr>
        <w:t xml:space="preserve"> </w:t>
      </w:r>
      <w:r w:rsidR="00CB111E" w:rsidRPr="00CB111E">
        <w:rPr>
          <w:rFonts w:ascii="Times New Roman" w:eastAsia="Times New Roman" w:hAnsi="Times New Roman" w:cs="Times New Roman"/>
          <w:bCs/>
        </w:rPr>
        <w:t>Maintain up-to-date informative records of all modeling and simulation activities, including simulation code, model mark-up, scope and intended use of modeling and simulation activities, as well as users’ and developers’ guides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03945445" w14:textId="6C7180FA" w:rsidR="00CB111E" w:rsidRDefault="00CB111E" w:rsidP="00995E26">
      <w:pPr>
        <w:jc w:val="both"/>
        <w:rPr>
          <w:rFonts w:ascii="Times New Roman" w:eastAsia="Times New Roman" w:hAnsi="Times New Roman" w:cs="Times New Roman"/>
          <w:bCs/>
        </w:rPr>
      </w:pPr>
    </w:p>
    <w:p w14:paraId="5760C77C" w14:textId="77777777" w:rsidR="00CB111E" w:rsidRDefault="00CB111E" w:rsidP="00CB111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>
        <w:rPr>
          <w:rFonts w:ascii="Times New Roman" w:eastAsia="Times New Roman" w:hAnsi="Times New Roman" w:cs="Times New Roman"/>
        </w:rPr>
        <w:t>Extensive</w:t>
      </w:r>
    </w:p>
    <w:p w14:paraId="000000DE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CE6" w14:paraId="5B77B8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1673F898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Conformance Level</w:t>
            </w:r>
          </w:p>
        </w:tc>
      </w:tr>
      <w:tr w:rsidR="009C5CE6" w14:paraId="1AF1C7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Code Commented?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03AB75FF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Extensive: comments made in the model file</w:t>
            </w:r>
            <w:r w:rsidR="00D70D10"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9C5CE6" w14:paraId="48855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Scope and intended use described?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1E56D163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Extensive: described in the main text</w:t>
            </w:r>
            <w:r w:rsidR="00D70D10">
              <w:rPr>
                <w:rFonts w:ascii="Times New Roman" w:eastAsia="Times New Roman" w:hAnsi="Times New Roman" w:cs="Times New Roman"/>
              </w:rPr>
              <w:t xml:space="preserve"> and supplemental files</w:t>
            </w:r>
          </w:p>
        </w:tc>
      </w:tr>
      <w:tr w:rsidR="009C5CE6" w14:paraId="3F8593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User’s Guide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2CEFC0EF" w:rsidR="009C5CE6" w:rsidRDefault="006953D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Extensive</w:t>
            </w:r>
            <w:r w:rsidR="00B40BB9">
              <w:rPr>
                <w:rFonts w:ascii="Times New Roman" w:eastAsia="Times New Roman" w:hAnsi="Times New Roman" w:cs="Times New Roman"/>
              </w:rPr>
              <w:t>: described in the main text</w:t>
            </w:r>
            <w:r>
              <w:rPr>
                <w:rFonts w:ascii="Times New Roman" w:eastAsia="Times New Roman" w:hAnsi="Times New Roman" w:cs="Times New Roman"/>
              </w:rPr>
              <w:t xml:space="preserve"> and supplemental files</w:t>
            </w:r>
          </w:p>
        </w:tc>
      </w:tr>
      <w:tr w:rsidR="009C5CE6" w14:paraId="0289F5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Developer’s Guide?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07E329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Partial: Details of </w:t>
            </w:r>
            <w:r w:rsidR="006953D6">
              <w:rPr>
                <w:rFonts w:ascii="Times New Roman" w:eastAsia="Times New Roman" w:hAnsi="Times New Roman" w:cs="Times New Roman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</w:rPr>
              <w:t>development in methods of main text</w:t>
            </w:r>
          </w:p>
        </w:tc>
      </w:tr>
    </w:tbl>
    <w:p w14:paraId="000000E9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E2E52AF" w14:textId="77777777" w:rsidR="006953D6" w:rsidRDefault="006953D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0EA" w14:textId="09D86682" w:rsidR="009C5CE6" w:rsidRDefault="00B40BB9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Rule </w:t>
      </w:r>
      <w:r w:rsidRPr="006953D6">
        <w:rPr>
          <w:rFonts w:ascii="Times New Roman" w:eastAsia="Times New Roman" w:hAnsi="Times New Roman" w:cs="Times New Roman"/>
          <w:b/>
          <w:u w:val="single"/>
        </w:rPr>
        <w:t>7:</w:t>
      </w:r>
      <w:r w:rsidR="006953D6" w:rsidRPr="006953D6">
        <w:rPr>
          <w:b/>
          <w:u w:val="single"/>
        </w:rPr>
        <w:t xml:space="preserve"> </w:t>
      </w:r>
      <w:r w:rsidR="006953D6" w:rsidRPr="006953D6">
        <w:rPr>
          <w:rFonts w:ascii="Times New Roman" w:eastAsia="Times New Roman" w:hAnsi="Times New Roman" w:cs="Times New Roman"/>
          <w:b/>
          <w:u w:val="single"/>
        </w:rPr>
        <w:t>Disseminate broadly</w:t>
      </w:r>
      <w:r w:rsidR="006953D6">
        <w:rPr>
          <w:rFonts w:ascii="Times New Roman" w:eastAsia="Times New Roman" w:hAnsi="Times New Roman" w:cs="Times New Roman"/>
          <w:b/>
          <w:u w:val="single"/>
        </w:rPr>
        <w:t>:</w:t>
      </w:r>
      <w:r w:rsidR="006953D6" w:rsidRPr="006953D6">
        <w:rPr>
          <w:rFonts w:ascii="Times New Roman" w:eastAsia="Times New Roman" w:hAnsi="Times New Roman" w:cs="Times New Roman"/>
          <w:bCs/>
        </w:rPr>
        <w:t xml:space="preserve"> Share all components of modeling and simulation activities, including simulation software, models, simulation scenarios and results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000000EB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0EC" w14:textId="1D7259FD" w:rsidR="009C5CE6" w:rsidRDefault="00B40BB9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>
        <w:rPr>
          <w:rFonts w:ascii="Times New Roman" w:eastAsia="Times New Roman" w:hAnsi="Times New Roman" w:cs="Times New Roman"/>
        </w:rPr>
        <w:t>Extensive</w:t>
      </w:r>
    </w:p>
    <w:p w14:paraId="000000ED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970"/>
        <w:gridCol w:w="2710"/>
      </w:tblGrid>
      <w:tr w:rsidR="009C5CE6" w14:paraId="019FAF06" w14:textId="77777777" w:rsidTr="00325E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Target Audience(s):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“Inner Circle”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Scientific Community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Public</w:t>
            </w:r>
          </w:p>
        </w:tc>
      </w:tr>
      <w:tr w:rsidR="009C5CE6" w14:paraId="660A34BF" w14:textId="77777777" w:rsidTr="00325E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Simulations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14E24CAA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 of simulations stated in the main text</w:t>
            </w:r>
            <w:r w:rsidR="00D70D10">
              <w:rPr>
                <w:rFonts w:ascii="Times New Roman" w:eastAsia="Times New Roman" w:hAnsi="Times New Roman" w:cs="Times New Roman"/>
              </w:rPr>
              <w:t xml:space="preserve"> and supplemental files</w:t>
            </w:r>
          </w:p>
        </w:tc>
      </w:tr>
      <w:tr w:rsidR="009C5CE6" w14:paraId="309683BC" w14:textId="77777777" w:rsidTr="00325E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Models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5631DD8B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file present in supplementary material</w:t>
            </w:r>
            <w:r w:rsidR="00385C8A">
              <w:rPr>
                <w:rFonts w:ascii="Times New Roman" w:eastAsia="Times New Roman" w:hAnsi="Times New Roman" w:cs="Times New Roman"/>
              </w:rPr>
              <w:t xml:space="preserve"> and on GitHub.</w:t>
            </w:r>
          </w:p>
        </w:tc>
      </w:tr>
      <w:tr w:rsidR="009C5CE6" w14:paraId="19488FCD" w14:textId="77777777" w:rsidTr="00325E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Software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CDFBB51" w:rsidR="009C5CE6" w:rsidRDefault="00385C8A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MATLAB</w:t>
            </w:r>
            <w:r w:rsidR="00615E93">
              <w:rPr>
                <w:rFonts w:ascii="Times New Roman" w:eastAsia="Times New Roman" w:hAnsi="Times New Roman" w:cs="Times New Roman"/>
              </w:rPr>
              <w:t xml:space="preserve"> and </w:t>
            </w:r>
            <w:r w:rsidR="00325E26">
              <w:rPr>
                <w:rFonts w:ascii="Times New Roman" w:eastAsia="Times New Roman" w:hAnsi="Times New Roman" w:cs="Times New Roman"/>
              </w:rPr>
              <w:t xml:space="preserve">Simulink </w:t>
            </w:r>
            <w:r w:rsidR="00B40BB9">
              <w:rPr>
                <w:rFonts w:ascii="Times New Roman" w:eastAsia="Times New Roman" w:hAnsi="Times New Roman" w:cs="Times New Roman"/>
              </w:rPr>
              <w:t>were used.</w:t>
            </w:r>
            <w:r w:rsidR="00EB5C0B">
              <w:rPr>
                <w:rFonts w:ascii="Times New Roman" w:eastAsia="Times New Roman" w:hAnsi="Times New Roman" w:cs="Times New Roman"/>
              </w:rPr>
              <w:t xml:space="preserve"> All of these are publicly available either freely or for a fee.</w:t>
            </w:r>
          </w:p>
        </w:tc>
      </w:tr>
      <w:tr w:rsidR="009C5CE6" w14:paraId="0FC17069" w14:textId="77777777" w:rsidTr="00325E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142300C6" w:rsidR="009C5CE6" w:rsidRDefault="007372ED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</w:t>
            </w:r>
            <w:r w:rsidR="00B40BB9">
              <w:rPr>
                <w:rFonts w:ascii="Times New Roman" w:eastAsia="Times New Roman" w:hAnsi="Times New Roman" w:cs="Times New Roman"/>
              </w:rPr>
              <w:t xml:space="preserve"> in main text</w:t>
            </w:r>
          </w:p>
        </w:tc>
      </w:tr>
      <w:tr w:rsidR="009C5CE6" w14:paraId="0B0223D2" w14:textId="77777777" w:rsidTr="00325E2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Implication of 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13D24711" w:rsidR="009C5CE6" w:rsidRDefault="007372ED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Described</w:t>
            </w:r>
            <w:r w:rsidR="00B40BB9">
              <w:rPr>
                <w:rFonts w:ascii="Times New Roman" w:eastAsia="Times New Roman" w:hAnsi="Times New Roman" w:cs="Times New Roman"/>
              </w:rPr>
              <w:t xml:space="preserve"> in main text</w:t>
            </w:r>
          </w:p>
        </w:tc>
      </w:tr>
    </w:tbl>
    <w:p w14:paraId="00000106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7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8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9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A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B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C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D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E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0F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10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11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12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1E649DF" w14:textId="77777777" w:rsidR="00197466" w:rsidRDefault="00197466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113" w14:textId="5EA8B945" w:rsidR="009C5CE6" w:rsidRPr="00197466" w:rsidRDefault="00B40BB9" w:rsidP="00995E26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Rule </w:t>
      </w:r>
      <w:r w:rsidRPr="00197466">
        <w:rPr>
          <w:rFonts w:ascii="Times New Roman" w:eastAsia="Times New Roman" w:hAnsi="Times New Roman" w:cs="Times New Roman"/>
          <w:b/>
          <w:u w:val="single"/>
        </w:rPr>
        <w:t>8:</w:t>
      </w:r>
      <w:r w:rsidR="00197466" w:rsidRPr="00197466">
        <w:rPr>
          <w:b/>
          <w:u w:val="single"/>
        </w:rPr>
        <w:t xml:space="preserve"> </w:t>
      </w:r>
      <w:r w:rsidR="00197466" w:rsidRPr="00197466">
        <w:rPr>
          <w:rFonts w:ascii="Times New Roman" w:eastAsia="Times New Roman" w:hAnsi="Times New Roman" w:cs="Times New Roman"/>
          <w:b/>
          <w:u w:val="single"/>
        </w:rPr>
        <w:t>Get independent reviews</w:t>
      </w:r>
      <w:r w:rsidR="00197466" w:rsidRPr="00AB51DA">
        <w:rPr>
          <w:rFonts w:ascii="Times New Roman" w:eastAsia="Times New Roman" w:hAnsi="Times New Roman" w:cs="Times New Roman"/>
          <w:bCs/>
          <w:u w:val="single"/>
        </w:rPr>
        <w:t>:</w:t>
      </w:r>
      <w:r w:rsidR="00197466" w:rsidRPr="00197466">
        <w:rPr>
          <w:rFonts w:ascii="Times New Roman" w:eastAsia="Times New Roman" w:hAnsi="Times New Roman" w:cs="Times New Roman"/>
          <w:bCs/>
        </w:rPr>
        <w:t xml:space="preserve"> Have the modeling and simulation activity reviewed by nonpartisan third-party users and developers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00000114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15" w14:textId="6DCE8EA5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 w:rsidR="0060730D">
        <w:rPr>
          <w:rFonts w:ascii="Times New Roman" w:eastAsia="Times New Roman" w:hAnsi="Times New Roman" w:cs="Times New Roman"/>
        </w:rPr>
        <w:t>Adequate</w:t>
      </w:r>
    </w:p>
    <w:p w14:paraId="00000116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CE6" w14:paraId="6C24E1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Reviewer(s) name and affiliation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41E8C1D7" w:rsidR="009C5CE6" w:rsidRDefault="00325E2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25E26">
              <w:rPr>
                <w:rFonts w:ascii="Times New Roman" w:eastAsia="Times New Roman" w:hAnsi="Times New Roman" w:cs="Times New Roman"/>
                <w:b/>
              </w:rPr>
              <w:t>Babita</w:t>
            </w:r>
            <w:proofErr w:type="spellEnd"/>
            <w:r w:rsidRPr="00325E26">
              <w:rPr>
                <w:rFonts w:ascii="Times New Roman" w:eastAsia="Times New Roman" w:hAnsi="Times New Roman" w:cs="Times New Roman"/>
                <w:b/>
              </w:rPr>
              <w:t xml:space="preserve"> Verma </w:t>
            </w:r>
            <w:r w:rsidR="00B40BB9">
              <w:rPr>
                <w:rFonts w:ascii="Times New Roman" w:eastAsia="Times New Roman" w:hAnsi="Times New Roman" w:cs="Times New Roman"/>
                <w:b/>
              </w:rPr>
              <w:t>(Thomas Jefferson University)</w:t>
            </w:r>
          </w:p>
        </w:tc>
      </w:tr>
      <w:tr w:rsidR="009C5CE6" w14:paraId="5DDFED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was the review performed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32D6B416" w:rsidR="009C5CE6" w:rsidRDefault="008E336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9C5CE6" w14:paraId="72AA9D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was review performed and outcomes of the review?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BC36" w14:textId="1961310C" w:rsidR="00197466" w:rsidRDefault="0019746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member of the research group, not involved in the present study</w:t>
            </w:r>
            <w:r w:rsidR="00C42C1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performed the review.</w:t>
            </w:r>
          </w:p>
          <w:p w14:paraId="7A26E46E" w14:textId="58C3DEF8" w:rsidR="00197466" w:rsidRDefault="0019746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files and tables in the text</w:t>
            </w:r>
            <w:r w:rsidR="00B40BB9">
              <w:rPr>
                <w:rFonts w:ascii="Times New Roman" w:eastAsia="Times New Roman" w:hAnsi="Times New Roman" w:cs="Times New Roman"/>
              </w:rPr>
              <w:t xml:space="preserve"> were cross-checked for consistenc</w:t>
            </w:r>
            <w:r>
              <w:rPr>
                <w:rFonts w:ascii="Times New Roman" w:eastAsia="Times New Roman" w:hAnsi="Times New Roman" w:cs="Times New Roman"/>
              </w:rPr>
              <w:t>y.</w:t>
            </w:r>
          </w:p>
          <w:p w14:paraId="0000011C" w14:textId="34943F06" w:rsidR="009C5CE6" w:rsidRDefault="0019746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B40BB9">
              <w:rPr>
                <w:rFonts w:ascii="Times New Roman" w:eastAsia="Times New Roman" w:hAnsi="Times New Roman" w:cs="Times New Roman"/>
              </w:rPr>
              <w:t>imulation results and figures were independently reproduced</w:t>
            </w:r>
            <w:r>
              <w:rPr>
                <w:rFonts w:ascii="Times New Roman" w:eastAsia="Times New Roman" w:hAnsi="Times New Roman" w:cs="Times New Roman"/>
              </w:rPr>
              <w:t xml:space="preserve"> using the files provided</w:t>
            </w:r>
            <w:r w:rsidR="008E3366">
              <w:rPr>
                <w:rFonts w:ascii="Times New Roman" w:eastAsia="Times New Roman" w:hAnsi="Times New Roman" w:cs="Times New Roman"/>
              </w:rPr>
              <w:t xml:space="preserve"> in the supplementary material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000011D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</w:rPr>
      </w:pPr>
    </w:p>
    <w:p w14:paraId="66DB1F7B" w14:textId="77777777" w:rsidR="00B94CE2" w:rsidRDefault="00B94CE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11E" w14:textId="5FE7E77E" w:rsidR="009C5CE6" w:rsidRPr="00B94CE2" w:rsidRDefault="00B40BB9" w:rsidP="00995E26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Rule 9:</w:t>
      </w:r>
      <w:r w:rsidR="00B94CE2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B94CE2" w:rsidRPr="00B94CE2">
        <w:rPr>
          <w:rFonts w:ascii="Times New Roman" w:eastAsia="Times New Roman" w:hAnsi="Times New Roman" w:cs="Times New Roman"/>
          <w:b/>
          <w:u w:val="single"/>
        </w:rPr>
        <w:t>Test competing implementations</w:t>
      </w:r>
      <w:r w:rsidR="00B94CE2" w:rsidRPr="00B94CE2">
        <w:rPr>
          <w:rFonts w:ascii="Times New Roman" w:eastAsia="Times New Roman" w:hAnsi="Times New Roman" w:cs="Times New Roman"/>
          <w:bCs/>
          <w:u w:val="single"/>
        </w:rPr>
        <w:t>:</w:t>
      </w:r>
      <w:r w:rsidR="00B94CE2" w:rsidRPr="00B94CE2">
        <w:rPr>
          <w:rFonts w:ascii="Times New Roman" w:eastAsia="Times New Roman" w:hAnsi="Times New Roman" w:cs="Times New Roman"/>
          <w:bCs/>
        </w:rPr>
        <w:t xml:space="preserve"> Use contrasting modeling and simulation implementation strategies to check the conclusions of different strategies against each other</w:t>
      </w:r>
      <w:r w:rsidR="00AB51DA">
        <w:rPr>
          <w:rFonts w:ascii="Times New Roman" w:eastAsia="Times New Roman" w:hAnsi="Times New Roman" w:cs="Times New Roman"/>
          <w:bCs/>
        </w:rPr>
        <w:t>.</w:t>
      </w:r>
    </w:p>
    <w:p w14:paraId="0000011F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20" w14:textId="3461A1E0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 w:rsidR="00AB51DA">
        <w:rPr>
          <w:rFonts w:ascii="Times New Roman" w:eastAsia="Times New Roman" w:hAnsi="Times New Roman" w:cs="Times New Roman"/>
        </w:rPr>
        <w:t>Adequate</w:t>
      </w:r>
    </w:p>
    <w:p w14:paraId="00000121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CE6" w14:paraId="165B15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9C5CE6" w:rsidRDefault="009C5CE6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Yes or No (briefly summarize)</w:t>
            </w:r>
          </w:p>
        </w:tc>
      </w:tr>
      <w:tr w:rsidR="009C5CE6" w14:paraId="3F430B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Were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competing implementations tested?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50C32C20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Competing implementations were tested and compared </w:t>
            </w:r>
            <w:r w:rsidR="00AB51DA"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B51DA">
              <w:rPr>
                <w:rFonts w:ascii="Times New Roman" w:eastAsia="Times New Roman" w:hAnsi="Times New Roman" w:cs="Times New Roman"/>
              </w:rPr>
              <w:t xml:space="preserve">the first </w:t>
            </w:r>
            <w:r>
              <w:rPr>
                <w:rFonts w:ascii="Times New Roman" w:eastAsia="Times New Roman" w:hAnsi="Times New Roman" w:cs="Times New Roman"/>
              </w:rPr>
              <w:t>author of the paper</w:t>
            </w:r>
            <w:r w:rsidR="008E336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C5CE6" w14:paraId="0A2AA7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9C5CE6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Did this lead to model refinement or improvement?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6619" w14:textId="77777777" w:rsidR="001C6023" w:rsidRDefault="00B40BB9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00000127" w14:textId="5319FB1A" w:rsidR="009C5CE6" w:rsidRDefault="001C6023" w:rsidP="00995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B40BB9">
              <w:rPr>
                <w:rFonts w:ascii="Times New Roman" w:eastAsia="Times New Roman" w:hAnsi="Times New Roman" w:cs="Times New Roman"/>
              </w:rPr>
              <w:t>he model was refined and improved whenever inconsistencies arose</w:t>
            </w:r>
            <w:r w:rsidR="00AB51DA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00000128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D35BB8A" w14:textId="77777777" w:rsidR="007774A9" w:rsidRDefault="007774A9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br w:type="page"/>
      </w:r>
    </w:p>
    <w:p w14:paraId="00000129" w14:textId="6B6E0E32" w:rsidR="009C5CE6" w:rsidRPr="007774A9" w:rsidRDefault="00B40BB9" w:rsidP="00995E26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Rule 10:</w:t>
      </w:r>
      <w:r w:rsidR="007774A9" w:rsidRPr="007774A9">
        <w:rPr>
          <w:b/>
          <w:bCs/>
          <w:u w:val="single"/>
        </w:rPr>
        <w:t xml:space="preserve"> </w:t>
      </w:r>
      <w:r w:rsidR="007774A9" w:rsidRPr="007774A9">
        <w:rPr>
          <w:rFonts w:ascii="Times New Roman" w:eastAsia="Times New Roman" w:hAnsi="Times New Roman" w:cs="Times New Roman"/>
          <w:b/>
          <w:u w:val="single"/>
        </w:rPr>
        <w:t>Conform to standards:</w:t>
      </w:r>
      <w:r w:rsidR="007774A9" w:rsidRPr="007774A9">
        <w:rPr>
          <w:rFonts w:ascii="Times New Roman" w:eastAsia="Times New Roman" w:hAnsi="Times New Roman" w:cs="Times New Roman"/>
          <w:bCs/>
        </w:rPr>
        <w:t xml:space="preserve"> Adopt and promote generally applicable and discipline specific operating procedures, guidelines, and regulations accepted as best practices</w:t>
      </w:r>
      <w:r w:rsidR="00DE684F">
        <w:rPr>
          <w:rFonts w:ascii="Times New Roman" w:eastAsia="Times New Roman" w:hAnsi="Times New Roman" w:cs="Times New Roman"/>
          <w:bCs/>
        </w:rPr>
        <w:t>.</w:t>
      </w:r>
    </w:p>
    <w:p w14:paraId="0000012A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000012B" w14:textId="72599779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Current Conformance Level: </w:t>
      </w:r>
      <w:r>
        <w:rPr>
          <w:rFonts w:ascii="Times New Roman" w:eastAsia="Times New Roman" w:hAnsi="Times New Roman" w:cs="Times New Roman"/>
        </w:rPr>
        <w:t>Adequate</w:t>
      </w:r>
    </w:p>
    <w:p w14:paraId="0000012C" w14:textId="77777777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CE6" w14:paraId="216D8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9C5CE6" w:rsidRDefault="009C5CE6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Yes or No (briefly summarize)</w:t>
            </w:r>
          </w:p>
        </w:tc>
      </w:tr>
      <w:tr w:rsidR="009C5CE6" w14:paraId="010E57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Are there operating procedures, guidelines, or standards for this type of multiscale modeling?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06D7499E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Yes, as described in the credible practice of modeling and simulation in healthcare: ten rules from a multidisciplinary perspective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Erdemir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al., 2020)</w:t>
            </w:r>
            <w:r w:rsidR="00EC6DF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C5CE6" w14:paraId="1E2CA8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9C5CE6" w:rsidRDefault="00B40BB9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How do your modeling efforts conform?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6C9BD75F" w:rsidR="009C5CE6" w:rsidRDefault="00EC6DF4" w:rsidP="00995E2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Our model is implemented in the widely used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platform for computational modeling. </w:t>
            </w:r>
            <w:r w:rsidR="006A330E">
              <w:rPr>
                <w:rFonts w:ascii="Times New Roman" w:eastAsia="Times New Roman" w:hAnsi="Times New Roman" w:cs="Times New Roman"/>
              </w:rPr>
              <w:t>The code is commented at critical locations to aid the reader.</w:t>
            </w:r>
          </w:p>
        </w:tc>
      </w:tr>
    </w:tbl>
    <w:p w14:paraId="00000133" w14:textId="3199680D" w:rsidR="009C5CE6" w:rsidRDefault="009C5CE6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5398DBE" w14:textId="77777777" w:rsidR="00E7421A" w:rsidRDefault="00E7421A" w:rsidP="00995E26">
      <w:pPr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08E71D4" w14:textId="63B1A87B" w:rsidR="00E7421A" w:rsidRDefault="00B40BB9" w:rsidP="00995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</w:t>
      </w:r>
      <w:r w:rsidR="00E7421A">
        <w:rPr>
          <w:rFonts w:ascii="Times New Roman" w:eastAsia="Times New Roman" w:hAnsi="Times New Roman" w:cs="Times New Roman"/>
          <w:b/>
        </w:rPr>
        <w:t>s</w:t>
      </w:r>
      <w:r w:rsidRPr="00E7421A">
        <w:rPr>
          <w:rFonts w:ascii="Times New Roman" w:eastAsia="Times New Roman" w:hAnsi="Times New Roman" w:cs="Times New Roman"/>
          <w:b/>
          <w:bCs/>
        </w:rPr>
        <w:t>:</w:t>
      </w:r>
    </w:p>
    <w:p w14:paraId="00000134" w14:textId="5C1519DF" w:rsidR="009C5CE6" w:rsidRDefault="00B40BB9" w:rsidP="00995E26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Erdemir</w:t>
      </w:r>
      <w:proofErr w:type="spellEnd"/>
      <w:r>
        <w:rPr>
          <w:rFonts w:ascii="Times New Roman" w:eastAsia="Times New Roman" w:hAnsi="Times New Roman" w:cs="Times New Roman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</w:rPr>
        <w:t>Mulugeta</w:t>
      </w:r>
      <w:proofErr w:type="spellEnd"/>
      <w:r>
        <w:rPr>
          <w:rFonts w:ascii="Times New Roman" w:eastAsia="Times New Roman" w:hAnsi="Times New Roman" w:cs="Times New Roman"/>
        </w:rPr>
        <w:t xml:space="preserve">, L., Ku, J. P., </w:t>
      </w:r>
      <w:proofErr w:type="spellStart"/>
      <w:r>
        <w:rPr>
          <w:rFonts w:ascii="Times New Roman" w:eastAsia="Times New Roman" w:hAnsi="Times New Roman" w:cs="Times New Roman"/>
        </w:rPr>
        <w:t>Drach</w:t>
      </w:r>
      <w:proofErr w:type="spellEnd"/>
      <w:r>
        <w:rPr>
          <w:rFonts w:ascii="Times New Roman" w:eastAsia="Times New Roman" w:hAnsi="Times New Roman" w:cs="Times New Roman"/>
        </w:rPr>
        <w:t>, A., Horner, M., Morrison, T. M., Peng, G., Vadigepalli, R., Lytton, W. W., &amp; Myers, J. G., Jr (2020). Credible practice of modeling and simulation in healthcare: ten rules from a multidisciplinary perspective. Journal of translational medicine, 18(1), 369. https://doi.org/10.1186/s12967-020-02540-4</w:t>
      </w:r>
    </w:p>
    <w:sectPr w:rsidR="009C5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E6"/>
    <w:rsid w:val="000F60AC"/>
    <w:rsid w:val="0010362E"/>
    <w:rsid w:val="00182BC6"/>
    <w:rsid w:val="00197466"/>
    <w:rsid w:val="001C01C2"/>
    <w:rsid w:val="001C6023"/>
    <w:rsid w:val="002231FA"/>
    <w:rsid w:val="002A34E4"/>
    <w:rsid w:val="002A495E"/>
    <w:rsid w:val="002E2E98"/>
    <w:rsid w:val="00325E26"/>
    <w:rsid w:val="00385C8A"/>
    <w:rsid w:val="0060730D"/>
    <w:rsid w:val="00615E93"/>
    <w:rsid w:val="00640C7F"/>
    <w:rsid w:val="006543C5"/>
    <w:rsid w:val="006953D6"/>
    <w:rsid w:val="006A330E"/>
    <w:rsid w:val="006E59F5"/>
    <w:rsid w:val="007372ED"/>
    <w:rsid w:val="00753CB8"/>
    <w:rsid w:val="007774A9"/>
    <w:rsid w:val="00826647"/>
    <w:rsid w:val="00892E04"/>
    <w:rsid w:val="008E3366"/>
    <w:rsid w:val="00911F2E"/>
    <w:rsid w:val="00925619"/>
    <w:rsid w:val="00967018"/>
    <w:rsid w:val="00985C97"/>
    <w:rsid w:val="00995E26"/>
    <w:rsid w:val="009C44A0"/>
    <w:rsid w:val="009C5CE6"/>
    <w:rsid w:val="00A32374"/>
    <w:rsid w:val="00A80D90"/>
    <w:rsid w:val="00A86FA1"/>
    <w:rsid w:val="00AB51DA"/>
    <w:rsid w:val="00B40BB9"/>
    <w:rsid w:val="00B94CE2"/>
    <w:rsid w:val="00C42C1E"/>
    <w:rsid w:val="00CB111E"/>
    <w:rsid w:val="00CD5281"/>
    <w:rsid w:val="00D62636"/>
    <w:rsid w:val="00D70D10"/>
    <w:rsid w:val="00DE684F"/>
    <w:rsid w:val="00E247B5"/>
    <w:rsid w:val="00E33016"/>
    <w:rsid w:val="00E6090E"/>
    <w:rsid w:val="00E7421A"/>
    <w:rsid w:val="00EB5C0B"/>
    <w:rsid w:val="00EC447D"/>
    <w:rsid w:val="00EC6DF4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802A4"/>
  <w15:docId w15:val="{00B767FA-9090-5E4E-83DF-A490034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C44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E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chel/LiverHomeostaticRenewalModel" TargetMode="External"/><Relationship Id="rId4" Type="http://schemas.openxmlformats.org/officeDocument/2006/relationships/hyperlink" Target="https://www.imagwiki.nibib.nih.gov/content/10-simple-rules-conformance-rub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Rajanikanth Vadigepalli</cp:lastModifiedBy>
  <cp:revision>13</cp:revision>
  <dcterms:created xsi:type="dcterms:W3CDTF">2022-08-17T14:27:00Z</dcterms:created>
  <dcterms:modified xsi:type="dcterms:W3CDTF">2022-08-19T13:28:00Z</dcterms:modified>
</cp:coreProperties>
</file>