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4A49" w14:textId="0154AED5" w:rsidR="00825BF4" w:rsidRDefault="00133231">
      <w:r>
        <w:t>Clinical Trial:</w:t>
      </w:r>
    </w:p>
    <w:p w14:paraId="2E8A5320" w14:textId="77777777" w:rsidR="00133231" w:rsidRPr="00133231" w:rsidRDefault="00133231" w:rsidP="00133231">
      <w:pPr>
        <w:shd w:val="clear" w:color="auto" w:fill="FFFFFF"/>
        <w:spacing w:after="18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26"/>
          <w:szCs w:val="26"/>
        </w:rPr>
      </w:pPr>
      <w:r w:rsidRPr="00133231">
        <w:rPr>
          <w:rFonts w:ascii="Verdana" w:eastAsia="Times New Roman" w:hAnsi="Verdana" w:cs="Times New Roman"/>
          <w:color w:val="333333"/>
          <w:kern w:val="36"/>
          <w:sz w:val="26"/>
          <w:szCs w:val="26"/>
        </w:rPr>
        <w:t xml:space="preserve">A </w:t>
      </w:r>
      <w:proofErr w:type="spellStart"/>
      <w:r w:rsidRPr="00133231">
        <w:rPr>
          <w:rFonts w:ascii="Verdana" w:eastAsia="Times New Roman" w:hAnsi="Verdana" w:cs="Times New Roman"/>
          <w:color w:val="333333"/>
          <w:kern w:val="36"/>
          <w:sz w:val="26"/>
          <w:szCs w:val="26"/>
        </w:rPr>
        <w:t>randomised</w:t>
      </w:r>
      <w:proofErr w:type="spellEnd"/>
      <w:r w:rsidRPr="00133231">
        <w:rPr>
          <w:rFonts w:ascii="Verdana" w:eastAsia="Times New Roman" w:hAnsi="Verdana" w:cs="Times New Roman"/>
          <w:color w:val="333333"/>
          <w:kern w:val="36"/>
          <w:sz w:val="26"/>
          <w:szCs w:val="26"/>
        </w:rPr>
        <w:t xml:space="preserve">, double-blind, placebo-controlled, parallel-group, dose-range trial to investigate the efficacy and safety of FE 999302 as add-on treatment to </w:t>
      </w:r>
      <w:proofErr w:type="spellStart"/>
      <w:r w:rsidRPr="00133231">
        <w:rPr>
          <w:rFonts w:ascii="Verdana" w:eastAsia="Times New Roman" w:hAnsi="Verdana" w:cs="Times New Roman"/>
          <w:color w:val="333333"/>
          <w:kern w:val="36"/>
          <w:sz w:val="26"/>
          <w:szCs w:val="26"/>
        </w:rPr>
        <w:t>follitropin</w:t>
      </w:r>
      <w:proofErr w:type="spellEnd"/>
      <w:r w:rsidRPr="00133231">
        <w:rPr>
          <w:rFonts w:ascii="Verdana" w:eastAsia="Times New Roman" w:hAnsi="Verdana" w:cs="Times New Roman"/>
          <w:color w:val="333333"/>
          <w:kern w:val="36"/>
          <w:sz w:val="26"/>
          <w:szCs w:val="26"/>
        </w:rPr>
        <w:t xml:space="preserve"> delta (REKOVELLE) in women undergoing controlled ovarian stimulation in a long GnRH agonist protocol</w:t>
      </w:r>
    </w:p>
    <w:p w14:paraId="28C3C6FF" w14:textId="73280669" w:rsidR="00133231" w:rsidRDefault="00133231" w:rsidP="00133231">
      <w:pPr>
        <w:pStyle w:val="ListParagraph"/>
        <w:numPr>
          <w:ilvl w:val="0"/>
          <w:numId w:val="1"/>
        </w:numPr>
      </w:pPr>
      <w:r>
        <w:t>Czechia</w:t>
      </w:r>
    </w:p>
    <w:p w14:paraId="618ADEE2" w14:textId="42AE412D" w:rsidR="00133231" w:rsidRDefault="00133231" w:rsidP="00133231">
      <w:pPr>
        <w:pStyle w:val="ListParagraph"/>
        <w:numPr>
          <w:ilvl w:val="0"/>
          <w:numId w:val="1"/>
        </w:numPr>
      </w:pPr>
      <w:r>
        <w:t>Denmark</w:t>
      </w:r>
    </w:p>
    <w:p w14:paraId="320730FE" w14:textId="72D452CD" w:rsidR="00133231" w:rsidRDefault="00133231" w:rsidP="00133231">
      <w:pPr>
        <w:pStyle w:val="ListParagraph"/>
        <w:numPr>
          <w:ilvl w:val="0"/>
          <w:numId w:val="1"/>
        </w:numPr>
      </w:pPr>
      <w:r>
        <w:t>Belgium</w:t>
      </w:r>
    </w:p>
    <w:p w14:paraId="56797C61" w14:textId="1E7709D7" w:rsidR="00133231" w:rsidRDefault="00133231" w:rsidP="00133231">
      <w:pPr>
        <w:pStyle w:val="ListParagraph"/>
        <w:numPr>
          <w:ilvl w:val="0"/>
          <w:numId w:val="1"/>
        </w:numPr>
      </w:pPr>
      <w:r>
        <w:t>UK</w:t>
      </w:r>
    </w:p>
    <w:p w14:paraId="57C13E24" w14:textId="22851CA5" w:rsidR="00133231" w:rsidRDefault="00133231" w:rsidP="00133231">
      <w:pPr>
        <w:pStyle w:val="ListParagraph"/>
        <w:numPr>
          <w:ilvl w:val="0"/>
          <w:numId w:val="1"/>
        </w:numPr>
      </w:pPr>
      <w:r>
        <w:t>Spain</w:t>
      </w:r>
    </w:p>
    <w:p w14:paraId="67A8B7E9" w14:textId="6E85728E" w:rsidR="00133231" w:rsidRDefault="00133231" w:rsidP="00133231"/>
    <w:p w14:paraId="1088B3E4" w14:textId="65A84DD0" w:rsidR="00133231" w:rsidRDefault="00133231" w:rsidP="00133231">
      <w:r>
        <w:t>Trial start: 2017</w:t>
      </w:r>
    </w:p>
    <w:p w14:paraId="04BE2212" w14:textId="2FAF7AA9" w:rsidR="00133231" w:rsidRDefault="00133231" w:rsidP="00133231">
      <w:r>
        <w:t>Trial completion: Jan 30</w:t>
      </w:r>
      <w:proofErr w:type="gramStart"/>
      <w:r>
        <w:t xml:space="preserve"> 2020</w:t>
      </w:r>
      <w:proofErr w:type="gramEnd"/>
    </w:p>
    <w:p w14:paraId="7A0176B0" w14:textId="25334137" w:rsidR="00133231" w:rsidRDefault="00133231" w:rsidP="00133231"/>
    <w:p w14:paraId="3A599773" w14:textId="65FBF83F" w:rsidR="00133231" w:rsidRPr="00133231" w:rsidRDefault="00133231" w:rsidP="00133231">
      <w:pPr>
        <w:pStyle w:val="ListParagraph"/>
        <w:numPr>
          <w:ilvl w:val="0"/>
          <w:numId w:val="1"/>
        </w:numPr>
      </w:pPr>
      <w:r>
        <w:t xml:space="preserve">Trial objective: </w:t>
      </w:r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To investigate the effects of FE 999302 (Choriogonadotropin Alfa) on parameters influencing pregnancy rates in women undergoing Controlled Ovarian Stimulation (COS) with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follitropin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delta in a long gonadotropin releasing hormone (GnRH) agonist protocol.</w:t>
      </w:r>
    </w:p>
    <w:p w14:paraId="0E6F8319" w14:textId="4A910F23" w:rsidR="00133231" w:rsidRDefault="00133231" w:rsidP="00133231"/>
    <w:p w14:paraId="39FE7B72" w14:textId="1FA7EC48" w:rsidR="00133231" w:rsidRDefault="00133231" w:rsidP="00133231">
      <w:r>
        <w:t>Subjects enrolled:</w:t>
      </w:r>
    </w:p>
    <w:p w14:paraId="08203A63" w14:textId="623B14C8" w:rsidR="00133231" w:rsidRDefault="00133231" w:rsidP="00133231">
      <w:r>
        <w:t>UK – 60</w:t>
      </w:r>
    </w:p>
    <w:p w14:paraId="04EB2B59" w14:textId="613D717B" w:rsidR="00133231" w:rsidRDefault="00133231" w:rsidP="00133231">
      <w:r>
        <w:t>Spain – 297</w:t>
      </w:r>
    </w:p>
    <w:p w14:paraId="0C489B8D" w14:textId="35A1D81D" w:rsidR="00133231" w:rsidRDefault="00133231" w:rsidP="00133231">
      <w:r>
        <w:t>Belgium – 34</w:t>
      </w:r>
    </w:p>
    <w:p w14:paraId="7AA61217" w14:textId="03DA4CCE" w:rsidR="00133231" w:rsidRDefault="00133231" w:rsidP="00133231">
      <w:r>
        <w:t>Czechia – 170</w:t>
      </w:r>
    </w:p>
    <w:p w14:paraId="7FB765B8" w14:textId="68FEBB03" w:rsidR="00133231" w:rsidRDefault="00133231" w:rsidP="00133231">
      <w:r>
        <w:t>Denmark – 59</w:t>
      </w:r>
    </w:p>
    <w:p w14:paraId="04BD718F" w14:textId="673EAFB6" w:rsidR="00133231" w:rsidRDefault="00133231" w:rsidP="00133231">
      <w:r>
        <w:t>Total – 620</w:t>
      </w:r>
    </w:p>
    <w:p w14:paraId="514901E3" w14:textId="2ED785A5" w:rsidR="00133231" w:rsidRDefault="00133231" w:rsidP="00133231">
      <w:r>
        <w:t>All adults 18-64 years old</w:t>
      </w:r>
    </w:p>
    <w:p w14:paraId="1D2ECAEF" w14:textId="272BEAF3" w:rsidR="00133231" w:rsidRDefault="00133231" w:rsidP="00133231"/>
    <w:p w14:paraId="5AE121A0" w14:textId="72CB6F4E" w:rsidR="00133231" w:rsidRDefault="00133231" w:rsidP="00133231">
      <w:r>
        <w:t>Randomized, controlled, double blind</w:t>
      </w:r>
    </w:p>
    <w:p w14:paraId="0179F48F" w14:textId="5859754E" w:rsidR="00133231" w:rsidRPr="00133231" w:rsidRDefault="00133231" w:rsidP="00133231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z w:val="18"/>
          <w:szCs w:val="18"/>
          <w:shd w:val="clear" w:color="auto" w:fill="EFF8FF"/>
        </w:rPr>
        <w:t>FE 999302 and placebo were identical in appearance and the trial was considered double-blind as neither the subject nor the investigator knew whether the subject was receiving FE 999302 or placebo.</w:t>
      </w:r>
    </w:p>
    <w:p w14:paraId="7AF60374" w14:textId="01A9DFD9" w:rsidR="00133231" w:rsidRDefault="00133231" w:rsidP="00133231"/>
    <w:p w14:paraId="6CFD3C6E" w14:textId="4A04356F" w:rsidR="009C64A6" w:rsidRDefault="009C64A6" w:rsidP="00133231"/>
    <w:p w14:paraId="6822D007" w14:textId="288D8A09" w:rsidR="00A40513" w:rsidRDefault="00A40513" w:rsidP="00725591">
      <w:pPr>
        <w:spacing w:after="0" w:line="240" w:lineRule="auto"/>
      </w:pPr>
      <w:r>
        <w:lastRenderedPageBreak/>
        <w:t>Number of Oocytes retrieved:</w:t>
      </w:r>
    </w:p>
    <w:p w14:paraId="58F553C2" w14:textId="569B272C" w:rsidR="00A40513" w:rsidRDefault="00A40513" w:rsidP="00725591">
      <w:pPr>
        <w:spacing w:after="0" w:line="240" w:lineRule="auto"/>
      </w:pPr>
    </w:p>
    <w:p w14:paraId="193A99D4" w14:textId="7D3F45BE" w:rsidR="00A40513" w:rsidRPr="00A40513" w:rsidRDefault="00A40513" w:rsidP="00A4051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Verdana" w:hAnsi="Verdana"/>
          <w:color w:val="333333"/>
          <w:sz w:val="18"/>
          <w:szCs w:val="18"/>
          <w:shd w:val="clear" w:color="auto" w:fill="EFF8FF"/>
        </w:rPr>
        <w:t>The number of oocytes retrieved was recorded at the oocyte retrieval visit.</w:t>
      </w:r>
    </w:p>
    <w:p w14:paraId="7F6394F0" w14:textId="5D043B0C" w:rsidR="00A40513" w:rsidRDefault="00A40513" w:rsidP="00A40513">
      <w:pPr>
        <w:spacing w:after="0" w:line="240" w:lineRule="auto"/>
      </w:pPr>
    </w:p>
    <w:p w14:paraId="065A2F47" w14:textId="77777777" w:rsidR="00A40513" w:rsidRDefault="00A40513" w:rsidP="00A40513">
      <w:pPr>
        <w:spacing w:after="0" w:line="240" w:lineRule="auto"/>
      </w:pPr>
    </w:p>
    <w:p w14:paraId="298438FF" w14:textId="77777777" w:rsidR="00A40513" w:rsidRDefault="00A40513" w:rsidP="00725591">
      <w:pPr>
        <w:spacing w:after="0" w:line="240" w:lineRule="auto"/>
      </w:pPr>
    </w:p>
    <w:p w14:paraId="4C8DCD73" w14:textId="1A938C90" w:rsidR="00725591" w:rsidRDefault="0001156D" w:rsidP="00725591">
      <w:pPr>
        <w:spacing w:after="0" w:line="240" w:lineRule="auto"/>
      </w:pPr>
      <w:r>
        <w:t xml:space="preserve">Positive </w:t>
      </w:r>
      <w:proofErr w:type="spellStart"/>
      <w:r>
        <w:t>BhCG</w:t>
      </w:r>
      <w:proofErr w:type="spellEnd"/>
      <w:r>
        <w:t>:</w:t>
      </w:r>
    </w:p>
    <w:p w14:paraId="303148E0" w14:textId="24025A14" w:rsidR="0001156D" w:rsidRDefault="0001156D" w:rsidP="00725591">
      <w:pPr>
        <w:spacing w:after="0" w:line="240" w:lineRule="auto"/>
      </w:pPr>
    </w:p>
    <w:p w14:paraId="09466977" w14:textId="4098F23A" w:rsidR="0001156D" w:rsidRPr="0001156D" w:rsidRDefault="0001156D" w:rsidP="0001156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  <w:shd w:val="clear" w:color="auto" w:fill="EFF8FF"/>
        </w:rPr>
        <w:t>Positive β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hCG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rate was defined as positive serum β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hCG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test 13-15 days after transfer. The analysis population included the FAS which consisted of all subjects who were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randomised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and started treatment with FE 999302 or placebo. Subjects were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analysed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according to the treatment they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actually received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.</w:t>
      </w:r>
    </w:p>
    <w:p w14:paraId="4691780E" w14:textId="36061D45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239DAAB2" w14:textId="72AA4534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092DD43B" w14:textId="3067DF12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Clinical Pregnancy:</w:t>
      </w:r>
    </w:p>
    <w:p w14:paraId="1BE5783A" w14:textId="4D4215DF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7B4DECD1" w14:textId="41233A98" w:rsidR="0001156D" w:rsidRPr="0001156D" w:rsidRDefault="0001156D" w:rsidP="0001156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1156D"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Clinical pregnancy was defined as at least one gestational sac 5-6 weeks after transfer. The analysis population included the FAS which consisted of all subjects who were </w:t>
      </w:r>
      <w:proofErr w:type="spellStart"/>
      <w:r w:rsidRPr="0001156D">
        <w:rPr>
          <w:rFonts w:ascii="Verdana" w:hAnsi="Verdana"/>
          <w:color w:val="333333"/>
          <w:sz w:val="18"/>
          <w:szCs w:val="18"/>
          <w:shd w:val="clear" w:color="auto" w:fill="EFF8FF"/>
        </w:rPr>
        <w:t>randomised</w:t>
      </w:r>
      <w:proofErr w:type="spellEnd"/>
      <w:r w:rsidRPr="0001156D"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and started treatment with FE 999302 or placebo. Subjects were </w:t>
      </w:r>
      <w:proofErr w:type="spellStart"/>
      <w:r w:rsidRPr="0001156D">
        <w:rPr>
          <w:rFonts w:ascii="Verdana" w:hAnsi="Verdana"/>
          <w:color w:val="333333"/>
          <w:sz w:val="18"/>
          <w:szCs w:val="18"/>
          <w:shd w:val="clear" w:color="auto" w:fill="EFF8FF"/>
        </w:rPr>
        <w:t>analysed</w:t>
      </w:r>
      <w:proofErr w:type="spellEnd"/>
      <w:r w:rsidRPr="0001156D"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according to the treatment they </w:t>
      </w:r>
      <w:proofErr w:type="gramStart"/>
      <w:r w:rsidRPr="0001156D">
        <w:rPr>
          <w:rFonts w:ascii="Verdana" w:hAnsi="Verdana"/>
          <w:color w:val="333333"/>
          <w:sz w:val="18"/>
          <w:szCs w:val="18"/>
          <w:shd w:val="clear" w:color="auto" w:fill="EFF8FF"/>
        </w:rPr>
        <w:t>actually received</w:t>
      </w:r>
      <w:proofErr w:type="gramEnd"/>
      <w:r w:rsidRPr="0001156D">
        <w:rPr>
          <w:rFonts w:ascii="Verdana" w:hAnsi="Verdana"/>
          <w:color w:val="333333"/>
          <w:sz w:val="18"/>
          <w:szCs w:val="18"/>
          <w:shd w:val="clear" w:color="auto" w:fill="EFF8FF"/>
        </w:rPr>
        <w:t>.</w:t>
      </w:r>
    </w:p>
    <w:p w14:paraId="7F8BA890" w14:textId="5AAA2DB2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4DA7DD1B" w14:textId="3DC4A6E1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Vital Pregnancy:</w:t>
      </w:r>
    </w:p>
    <w:p w14:paraId="3C42DE61" w14:textId="6C5A0481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546BBDD3" w14:textId="0BF61539" w:rsidR="0001156D" w:rsidRPr="0001156D" w:rsidRDefault="0001156D" w:rsidP="0001156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Vital pregnancy was defined at least one intrauterine gestational sac with fetal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heart beat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5-6 weeks after transfer. The analysis population included the FAS which consisted of all subjects who were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randomised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and started treatment with FE 999302 or placebo. Subjects were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analysed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according to the treatment they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actually received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.</w:t>
      </w:r>
    </w:p>
    <w:p w14:paraId="7A98F309" w14:textId="309DC423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2F7A40CB" w14:textId="513C3F08" w:rsidR="0001156D" w:rsidRDefault="0001156D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0F4AE8A1" w14:textId="1A981022" w:rsidR="00A40513" w:rsidRDefault="00A40513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Ongoing Pregnancy:</w:t>
      </w:r>
    </w:p>
    <w:p w14:paraId="56AF9A8D" w14:textId="29C907E3" w:rsidR="00A40513" w:rsidRDefault="00A40513" w:rsidP="0001156D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20406230" w14:textId="594F5457" w:rsidR="00A40513" w:rsidRPr="00A40513" w:rsidRDefault="00A40513" w:rsidP="00A40513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Ongoing pregnancy was defined as at least one intrauterine viable fetus 10-11 weeks after transfer. The analysis population included the FAS which consisted of all subjects who were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randomised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and started treatment with FE 999302 or placebo. Subjects were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analysed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 xml:space="preserve"> according to the treatment they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actually received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EFF8FF"/>
        </w:rPr>
        <w:t>.</w:t>
      </w:r>
    </w:p>
    <w:p w14:paraId="53636A24" w14:textId="79B9C816" w:rsidR="00A40513" w:rsidRDefault="00A40513" w:rsidP="00A40513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673DE8BB" w14:textId="77777777" w:rsidR="00A40513" w:rsidRPr="00A40513" w:rsidRDefault="00A40513" w:rsidP="00A40513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A40513" w:rsidRPr="00A4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C38B5"/>
    <w:multiLevelType w:val="hybridMultilevel"/>
    <w:tmpl w:val="5D04E51A"/>
    <w:lvl w:ilvl="0" w:tplc="2AAA2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31"/>
    <w:rsid w:val="0001156D"/>
    <w:rsid w:val="00133231"/>
    <w:rsid w:val="00725591"/>
    <w:rsid w:val="00825BF4"/>
    <w:rsid w:val="008534FA"/>
    <w:rsid w:val="008D4265"/>
    <w:rsid w:val="009C64A6"/>
    <w:rsid w:val="00A40513"/>
    <w:rsid w:val="00CC7493"/>
    <w:rsid w:val="00D35BEC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7021"/>
  <w15:chartTrackingRefBased/>
  <w15:docId w15:val="{3026F08D-7E5C-4C85-8279-8C720015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32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7CF4-D9A7-4506-B3E9-AAD71544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4</cp:revision>
  <dcterms:created xsi:type="dcterms:W3CDTF">2022-09-29T21:59:00Z</dcterms:created>
  <dcterms:modified xsi:type="dcterms:W3CDTF">2022-10-01T02:06:00Z</dcterms:modified>
</cp:coreProperties>
</file>