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D7DAD" w14:textId="43E5A41D" w:rsidR="009F6035" w:rsidRDefault="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Informe Ejecutivo</w:t>
      </w:r>
    </w:p>
    <w:p w14:paraId="5BD5BFEE" w14:textId="159280AB" w:rsidR="00485E71" w:rsidRDefault="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Desarrollo de una Solución Analítica para la Gestión de Cuentas por Cobrar</w:t>
      </w:r>
    </w:p>
    <w:p w14:paraId="305EE1AF" w14:textId="00A220CF" w:rsidR="00485E71" w:rsidRPr="00485E71" w:rsidRDefault="00485E71">
      <w:pPr>
        <w:rPr>
          <w:rFonts w:ascii="Times New Roman" w:hAnsi="Times New Roman" w:cs="Times New Roman"/>
          <w:sz w:val="24"/>
          <w:szCs w:val="24"/>
          <w:lang w:val="es-MX"/>
        </w:rPr>
      </w:pPr>
      <w:r>
        <w:rPr>
          <w:rFonts w:ascii="Times New Roman" w:hAnsi="Times New Roman" w:cs="Times New Roman"/>
          <w:b/>
          <w:bCs/>
          <w:sz w:val="24"/>
          <w:szCs w:val="24"/>
          <w:lang w:val="es-MX"/>
        </w:rPr>
        <w:t xml:space="preserve">Realizado Por: </w:t>
      </w:r>
      <w:r>
        <w:rPr>
          <w:rFonts w:ascii="Times New Roman" w:hAnsi="Times New Roman" w:cs="Times New Roman"/>
          <w:sz w:val="24"/>
          <w:szCs w:val="24"/>
          <w:lang w:val="es-MX"/>
        </w:rPr>
        <w:t>Daniel Steven Caro Durango</w:t>
      </w:r>
    </w:p>
    <w:p w14:paraId="28AC1A60" w14:textId="59166311" w:rsidR="00485E71" w:rsidRDefault="00485E71">
      <w:pPr>
        <w:rPr>
          <w:rFonts w:ascii="Times New Roman" w:hAnsi="Times New Roman" w:cs="Times New Roman"/>
          <w:sz w:val="24"/>
          <w:szCs w:val="24"/>
          <w:lang w:val="es-MX"/>
        </w:rPr>
      </w:pPr>
      <w:r>
        <w:rPr>
          <w:rFonts w:ascii="Times New Roman" w:hAnsi="Times New Roman" w:cs="Times New Roman"/>
          <w:b/>
          <w:bCs/>
          <w:sz w:val="24"/>
          <w:szCs w:val="24"/>
          <w:lang w:val="es-MX"/>
        </w:rPr>
        <w:t xml:space="preserve">Fecha: </w:t>
      </w:r>
      <w:r>
        <w:rPr>
          <w:rFonts w:ascii="Times New Roman" w:hAnsi="Times New Roman" w:cs="Times New Roman"/>
          <w:sz w:val="24"/>
          <w:szCs w:val="24"/>
          <w:lang w:val="es-MX"/>
        </w:rPr>
        <w:t>24 de Julio de 2026</w:t>
      </w:r>
    </w:p>
    <w:p w14:paraId="4AE36183" w14:textId="1020AC5E" w:rsidR="00485E71" w:rsidRDefault="00485E71">
      <w:pPr>
        <w:rPr>
          <w:rFonts w:ascii="Times New Roman" w:hAnsi="Times New Roman" w:cs="Times New Roman"/>
          <w:sz w:val="24"/>
          <w:szCs w:val="24"/>
          <w:lang w:val="es-MX"/>
        </w:rPr>
      </w:pPr>
    </w:p>
    <w:p w14:paraId="459EB16C" w14:textId="77777777" w:rsidR="00485E71" w:rsidRP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INFORME EJECUTIVO</w:t>
      </w:r>
    </w:p>
    <w:p w14:paraId="74095BB1" w14:textId="105C56AA" w:rsid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Desarrollo de una Solución Analítica para la Gestión de Cuentas por Cobrar</w:t>
      </w:r>
    </w:p>
    <w:p w14:paraId="417568D6" w14:textId="77777777" w:rsidR="00485E71" w:rsidRPr="00485E71" w:rsidRDefault="00485E71" w:rsidP="00485E71">
      <w:pPr>
        <w:rPr>
          <w:rFonts w:ascii="Times New Roman" w:hAnsi="Times New Roman" w:cs="Times New Roman"/>
          <w:b/>
          <w:bCs/>
          <w:sz w:val="24"/>
          <w:szCs w:val="24"/>
          <w:lang w:val="es-MX"/>
        </w:rPr>
      </w:pPr>
    </w:p>
    <w:p w14:paraId="3B832EAB" w14:textId="5043B29B" w:rsidR="00485E71" w:rsidRP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1. Introducción</w:t>
      </w:r>
    </w:p>
    <w:p w14:paraId="10DABBC7" w14:textId="5027CE7B"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La gestión de las cuentas por cobrar es un proceso clave para garantizar la liquidez de una organización y optimizar el proceso de recuperación de cartera. Sin embargo, cuando el volumen de información aumenta, identificar qué cuentas requieren una atención prioritaria se convierte en una tarea compleja si únicamente se utilizan métodos manuales.</w:t>
      </w:r>
    </w:p>
    <w:p w14:paraId="326282C8" w14:textId="77777777"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Con el propósito de apoyar este proceso, se desarrolló una solución analítica que integra consultas SQL, un modelo de Machine Learning y un dashboard en Power BI. Esta solución permite consolidar la información de la cartera, estimar la probabilidad de pago de cada cuenta y presentar los resultados de manera clara para facilitar la toma de decisiones.</w:t>
      </w:r>
    </w:p>
    <w:p w14:paraId="0840030F" w14:textId="77777777" w:rsidR="00485E71" w:rsidRPr="00485E71" w:rsidRDefault="00485E71" w:rsidP="00485E71">
      <w:pPr>
        <w:rPr>
          <w:rFonts w:ascii="Times New Roman" w:hAnsi="Times New Roman" w:cs="Times New Roman"/>
          <w:b/>
          <w:bCs/>
          <w:sz w:val="24"/>
          <w:szCs w:val="24"/>
          <w:lang w:val="es-MX"/>
        </w:rPr>
      </w:pPr>
    </w:p>
    <w:p w14:paraId="2071015E" w14:textId="22292D49" w:rsidR="00485E71" w:rsidRP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2. Desarrollo del proyecto</w:t>
      </w:r>
    </w:p>
    <w:p w14:paraId="15DB9AE4" w14:textId="20BB12E0"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El desarrollo se dividió en tres etapas principales. En la primera se construyó la base de información mediante consultas SQL sobre una base de datos SQLite. Estas consultas permitieron organizar los datos relevantes de las cuentas por cobrar en una única tabla, que posteriormente fue utilizada para el entrenamiento del modelo predictivo.</w:t>
      </w:r>
    </w:p>
    <w:p w14:paraId="21FFDD30" w14:textId="43CFEE8C"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En la segunda etapa se desarrolló un modelo de clasificación utilizando Python y Scikit-Learn. Antes del entrenamiento fue necesario realizar un proceso de preparación de los datos, que incluyó la transformación de variables de fecha, la codificación de variables categóricas y el escalamiento de variables numéricas. Posteriormente, los datos fueron divididos en conjuntos de entrenamiento y prueba con una proporción de 80 % y 20 %, respectivamente.</w:t>
      </w:r>
    </w:p>
    <w:p w14:paraId="6FD54883" w14:textId="77777777"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Finalmente, se construyó un dashboard en Power BI con el fin de visualizar tanto los indicadores históricos de la cartera como los resultados generados por el modelo. Este tablero permite consultar la información mediante filtros y facilita la identificación de patrones relevantes para la gestión operativa.</w:t>
      </w:r>
    </w:p>
    <w:p w14:paraId="644BADC4" w14:textId="77777777" w:rsidR="00485E71" w:rsidRPr="00485E71" w:rsidRDefault="00485E71" w:rsidP="00485E71">
      <w:pPr>
        <w:rPr>
          <w:rFonts w:ascii="Times New Roman" w:hAnsi="Times New Roman" w:cs="Times New Roman"/>
          <w:b/>
          <w:bCs/>
          <w:sz w:val="24"/>
          <w:szCs w:val="24"/>
          <w:lang w:val="es-MX"/>
        </w:rPr>
      </w:pPr>
    </w:p>
    <w:p w14:paraId="73EA0905" w14:textId="1AFF3C2A" w:rsidR="00485E71" w:rsidRP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lastRenderedPageBreak/>
        <w:t>3. Metodología utilizada</w:t>
      </w:r>
    </w:p>
    <w:p w14:paraId="7B9666B3" w14:textId="4CB3DFCA"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Para el desarrollo del modelo se implementó un Pipeline de Scikit-Learn que integra las etapas de preprocesamiento y entrenamiento, garantizando que todas las transformaciones aplicadas durante el entrenamiento sean las mismas al momento de realizar nuevas predicciones. Como algoritmo de clasificación se seleccionó una Regresión Logística, ya que el objetivo del problema consiste en determinar si una cuenta será pagada o no.</w:t>
      </w:r>
    </w:p>
    <w:p w14:paraId="53EED23E" w14:textId="77777777"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Una vez entrenado el modelo, se evaluó utilizando diferentes métricas de clasificación con el propósito de medir su capacidad predictiva. Además de generar una predicción binaria, el modelo calcula la probabilidad de pago de cada cuenta, información que posteriormente se utiliza para estimar el valor esperado de recuperación de la cartera.</w:t>
      </w:r>
    </w:p>
    <w:p w14:paraId="0C04800D" w14:textId="77777777" w:rsidR="00485E71" w:rsidRPr="00485E71" w:rsidRDefault="00485E71" w:rsidP="00485E71">
      <w:pPr>
        <w:rPr>
          <w:rFonts w:ascii="Times New Roman" w:hAnsi="Times New Roman" w:cs="Times New Roman"/>
          <w:b/>
          <w:bCs/>
          <w:sz w:val="24"/>
          <w:szCs w:val="24"/>
          <w:lang w:val="es-MX"/>
        </w:rPr>
      </w:pPr>
    </w:p>
    <w:p w14:paraId="5C167B17" w14:textId="2B9D1BA1" w:rsidR="00485E71" w:rsidRP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4. Beneficios del desarrollo</w:t>
      </w:r>
    </w:p>
    <w:p w14:paraId="06C05EB6" w14:textId="4539C1C2"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La solución desarrollada permite transformar una gran cantidad de información en indicadores que apoyan la toma de decisiones. En lugar de revisar manualmente cada registro, los analistas pueden identificar rápidamente qué productos concentran la mayor cartera pendiente, cuáles presentan una mayor probabilidad de recuperación y qué cuentas representan un mayor impacto económico.</w:t>
      </w:r>
    </w:p>
    <w:p w14:paraId="1CFE1B06" w14:textId="77777777"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Adicionalmente, la integración entre SQL, Python y Power BI automatiza gran parte del proceso analítico, disminuyendo el tiempo requerido para generar reportes y facilitando el seguimiento continuo de los indicadores de la operación.</w:t>
      </w:r>
    </w:p>
    <w:p w14:paraId="5B5F83C7" w14:textId="77777777" w:rsidR="00485E71" w:rsidRPr="00485E71" w:rsidRDefault="00485E71" w:rsidP="00485E71">
      <w:pPr>
        <w:rPr>
          <w:rFonts w:ascii="Times New Roman" w:hAnsi="Times New Roman" w:cs="Times New Roman"/>
          <w:b/>
          <w:bCs/>
          <w:sz w:val="24"/>
          <w:szCs w:val="24"/>
          <w:lang w:val="es-MX"/>
        </w:rPr>
      </w:pPr>
    </w:p>
    <w:p w14:paraId="50EB7D33" w14:textId="53CB1A40" w:rsidR="00485E71" w:rsidRP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5. Evaluación del modelo</w:t>
      </w:r>
    </w:p>
    <w:p w14:paraId="24C7C34E" w14:textId="31BADCDF"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El desempeño del modelo fue evaluado mediante métricas ampliamente utilizadas en problemas de clasificación, entre ellas Accuracy, Precision, Recall, F1 Score y ROC AUC. Estas métricas permiten analizar no solo el porcentaje de predicciones correctas, sino también la capacidad del modelo para identificar correctamente las cuentas que realmente serán pagadas.</w:t>
      </w:r>
    </w:p>
    <w:p w14:paraId="1E9C3EB6" w14:textId="77777777"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Métrica</w:t>
      </w:r>
      <w:r w:rsidRPr="00485E71">
        <w:rPr>
          <w:rFonts w:ascii="Times New Roman" w:hAnsi="Times New Roman" w:cs="Times New Roman"/>
          <w:sz w:val="24"/>
          <w:szCs w:val="24"/>
          <w:lang w:val="es-MX"/>
        </w:rPr>
        <w:tab/>
        <w:t>Resultado</w:t>
      </w:r>
    </w:p>
    <w:p w14:paraId="6B1E8882" w14:textId="4848ACBA" w:rsidR="00485E71" w:rsidRPr="001A1D15" w:rsidRDefault="00485E71" w:rsidP="00485E71">
      <w:pPr>
        <w:rPr>
          <w:rFonts w:ascii="Times New Roman" w:hAnsi="Times New Roman" w:cs="Times New Roman"/>
          <w:sz w:val="24"/>
          <w:szCs w:val="24"/>
          <w:lang w:val="en-US"/>
        </w:rPr>
      </w:pPr>
      <w:r w:rsidRPr="001A1D15">
        <w:rPr>
          <w:rFonts w:ascii="Times New Roman" w:hAnsi="Times New Roman" w:cs="Times New Roman"/>
          <w:sz w:val="24"/>
          <w:szCs w:val="24"/>
          <w:lang w:val="en-US"/>
        </w:rPr>
        <w:t>Accuracy</w:t>
      </w:r>
      <w:r w:rsidRPr="001A1D15">
        <w:rPr>
          <w:rFonts w:ascii="Times New Roman" w:hAnsi="Times New Roman" w:cs="Times New Roman"/>
          <w:sz w:val="24"/>
          <w:szCs w:val="24"/>
          <w:lang w:val="en-US"/>
        </w:rPr>
        <w:tab/>
      </w:r>
      <w:r w:rsidR="001A1D15" w:rsidRPr="001A1D15">
        <w:rPr>
          <w:rFonts w:ascii="Times New Roman" w:hAnsi="Times New Roman" w:cs="Times New Roman"/>
          <w:sz w:val="24"/>
          <w:szCs w:val="24"/>
          <w:lang w:val="en-US"/>
        </w:rPr>
        <w:t>94,9</w:t>
      </w:r>
      <w:r w:rsidRPr="001A1D15">
        <w:rPr>
          <w:rFonts w:ascii="Times New Roman" w:hAnsi="Times New Roman" w:cs="Times New Roman"/>
          <w:sz w:val="24"/>
          <w:szCs w:val="24"/>
          <w:lang w:val="en-US"/>
        </w:rPr>
        <w:t xml:space="preserve"> %</w:t>
      </w:r>
    </w:p>
    <w:p w14:paraId="0D67CC81" w14:textId="65AAE926" w:rsidR="00485E71" w:rsidRPr="00485E71" w:rsidRDefault="00485E71" w:rsidP="00485E71">
      <w:pPr>
        <w:rPr>
          <w:rFonts w:ascii="Times New Roman" w:hAnsi="Times New Roman" w:cs="Times New Roman"/>
          <w:sz w:val="24"/>
          <w:szCs w:val="24"/>
          <w:lang w:val="en-US"/>
        </w:rPr>
      </w:pPr>
      <w:r w:rsidRPr="00485E71">
        <w:rPr>
          <w:rFonts w:ascii="Times New Roman" w:hAnsi="Times New Roman" w:cs="Times New Roman"/>
          <w:sz w:val="24"/>
          <w:szCs w:val="24"/>
          <w:lang w:val="en-US"/>
        </w:rPr>
        <w:t>Precision</w:t>
      </w:r>
      <w:r w:rsidRPr="00485E71">
        <w:rPr>
          <w:rFonts w:ascii="Times New Roman" w:hAnsi="Times New Roman" w:cs="Times New Roman"/>
          <w:sz w:val="24"/>
          <w:szCs w:val="24"/>
          <w:lang w:val="en-US"/>
        </w:rPr>
        <w:tab/>
      </w:r>
      <w:r w:rsidR="001A1D15">
        <w:rPr>
          <w:rFonts w:ascii="Times New Roman" w:hAnsi="Times New Roman" w:cs="Times New Roman"/>
          <w:sz w:val="24"/>
          <w:szCs w:val="24"/>
          <w:lang w:val="en-US"/>
        </w:rPr>
        <w:t>94</w:t>
      </w:r>
      <w:r w:rsidRPr="00485E71">
        <w:rPr>
          <w:rFonts w:ascii="Times New Roman" w:hAnsi="Times New Roman" w:cs="Times New Roman"/>
          <w:sz w:val="24"/>
          <w:szCs w:val="24"/>
          <w:lang w:val="en-US"/>
        </w:rPr>
        <w:t xml:space="preserve"> %</w:t>
      </w:r>
    </w:p>
    <w:p w14:paraId="621D2C48" w14:textId="2C60C436" w:rsidR="00485E71" w:rsidRPr="00485E71" w:rsidRDefault="00485E71" w:rsidP="00485E71">
      <w:pPr>
        <w:rPr>
          <w:rFonts w:ascii="Times New Roman" w:hAnsi="Times New Roman" w:cs="Times New Roman"/>
          <w:sz w:val="24"/>
          <w:szCs w:val="24"/>
          <w:lang w:val="en-US"/>
        </w:rPr>
      </w:pPr>
      <w:r w:rsidRPr="00485E71">
        <w:rPr>
          <w:rFonts w:ascii="Times New Roman" w:hAnsi="Times New Roman" w:cs="Times New Roman"/>
          <w:sz w:val="24"/>
          <w:szCs w:val="24"/>
          <w:lang w:val="en-US"/>
        </w:rPr>
        <w:t>Recall</w:t>
      </w:r>
      <w:r w:rsidRPr="00485E71">
        <w:rPr>
          <w:rFonts w:ascii="Times New Roman" w:hAnsi="Times New Roman" w:cs="Times New Roman"/>
          <w:sz w:val="24"/>
          <w:szCs w:val="24"/>
          <w:lang w:val="en-US"/>
        </w:rPr>
        <w:tab/>
      </w:r>
      <w:r>
        <w:rPr>
          <w:rFonts w:ascii="Times New Roman" w:hAnsi="Times New Roman" w:cs="Times New Roman"/>
          <w:sz w:val="24"/>
          <w:szCs w:val="24"/>
          <w:lang w:val="en-US"/>
        </w:rPr>
        <w:t xml:space="preserve">           </w:t>
      </w:r>
      <w:r w:rsidR="001A1D15">
        <w:rPr>
          <w:rFonts w:ascii="Times New Roman" w:hAnsi="Times New Roman" w:cs="Times New Roman"/>
          <w:sz w:val="24"/>
          <w:szCs w:val="24"/>
          <w:lang w:val="en-US"/>
        </w:rPr>
        <w:t>100</w:t>
      </w:r>
      <w:r w:rsidRPr="00485E71">
        <w:rPr>
          <w:rFonts w:ascii="Times New Roman" w:hAnsi="Times New Roman" w:cs="Times New Roman"/>
          <w:sz w:val="24"/>
          <w:szCs w:val="24"/>
          <w:lang w:val="en-US"/>
        </w:rPr>
        <w:t xml:space="preserve"> %</w:t>
      </w:r>
    </w:p>
    <w:p w14:paraId="1438A192" w14:textId="6D568CB4" w:rsidR="00485E71" w:rsidRPr="00485E71" w:rsidRDefault="00485E71" w:rsidP="00485E71">
      <w:pPr>
        <w:rPr>
          <w:rFonts w:ascii="Times New Roman" w:hAnsi="Times New Roman" w:cs="Times New Roman"/>
          <w:sz w:val="24"/>
          <w:szCs w:val="24"/>
          <w:lang w:val="en-US"/>
        </w:rPr>
      </w:pPr>
      <w:r w:rsidRPr="00485E71">
        <w:rPr>
          <w:rFonts w:ascii="Times New Roman" w:hAnsi="Times New Roman" w:cs="Times New Roman"/>
          <w:sz w:val="24"/>
          <w:szCs w:val="24"/>
          <w:lang w:val="en-US"/>
        </w:rPr>
        <w:t>F1 Score</w:t>
      </w:r>
      <w:r w:rsidRPr="00485E71">
        <w:rPr>
          <w:rFonts w:ascii="Times New Roman" w:hAnsi="Times New Roman" w:cs="Times New Roman"/>
          <w:sz w:val="24"/>
          <w:szCs w:val="24"/>
          <w:lang w:val="en-US"/>
        </w:rPr>
        <w:tab/>
      </w:r>
      <w:r w:rsidR="001A1D15">
        <w:rPr>
          <w:rFonts w:ascii="Times New Roman" w:hAnsi="Times New Roman" w:cs="Times New Roman"/>
          <w:sz w:val="24"/>
          <w:szCs w:val="24"/>
          <w:lang w:val="en-US"/>
        </w:rPr>
        <w:t>96,9</w:t>
      </w:r>
      <w:r w:rsidRPr="00485E71">
        <w:rPr>
          <w:rFonts w:ascii="Times New Roman" w:hAnsi="Times New Roman" w:cs="Times New Roman"/>
          <w:sz w:val="24"/>
          <w:szCs w:val="24"/>
          <w:lang w:val="en-US"/>
        </w:rPr>
        <w:t xml:space="preserve"> %</w:t>
      </w:r>
    </w:p>
    <w:p w14:paraId="5D8031A1" w14:textId="3F2187CC" w:rsidR="00485E71" w:rsidRDefault="00485E71" w:rsidP="00485E71">
      <w:pPr>
        <w:rPr>
          <w:rFonts w:ascii="Times New Roman" w:hAnsi="Times New Roman" w:cs="Times New Roman"/>
          <w:sz w:val="24"/>
          <w:szCs w:val="24"/>
          <w:lang w:val="en-US"/>
        </w:rPr>
      </w:pPr>
      <w:r w:rsidRPr="00485E71">
        <w:rPr>
          <w:rFonts w:ascii="Times New Roman" w:hAnsi="Times New Roman" w:cs="Times New Roman"/>
          <w:sz w:val="24"/>
          <w:szCs w:val="24"/>
          <w:lang w:val="en-US"/>
        </w:rPr>
        <w:t>ROC AUC</w:t>
      </w:r>
      <w:r w:rsidRPr="00485E71">
        <w:rPr>
          <w:rFonts w:ascii="Times New Roman" w:hAnsi="Times New Roman" w:cs="Times New Roman"/>
          <w:sz w:val="24"/>
          <w:szCs w:val="24"/>
          <w:lang w:val="en-US"/>
        </w:rPr>
        <w:tab/>
      </w:r>
      <w:r w:rsidR="001A1D15">
        <w:rPr>
          <w:rFonts w:ascii="Times New Roman" w:hAnsi="Times New Roman" w:cs="Times New Roman"/>
          <w:sz w:val="24"/>
          <w:szCs w:val="24"/>
          <w:lang w:val="en-US"/>
        </w:rPr>
        <w:t>98,6</w:t>
      </w:r>
      <w:r w:rsidRPr="00485E71">
        <w:rPr>
          <w:rFonts w:ascii="Times New Roman" w:hAnsi="Times New Roman" w:cs="Times New Roman"/>
          <w:sz w:val="24"/>
          <w:szCs w:val="24"/>
          <w:lang w:val="en-US"/>
        </w:rPr>
        <w:t xml:space="preserve"> %</w:t>
      </w:r>
    </w:p>
    <w:p w14:paraId="69179672" w14:textId="77777777" w:rsidR="00485E71" w:rsidRPr="00485E71" w:rsidRDefault="00485E71" w:rsidP="00485E71">
      <w:pPr>
        <w:rPr>
          <w:rFonts w:ascii="Times New Roman" w:hAnsi="Times New Roman" w:cs="Times New Roman"/>
          <w:sz w:val="24"/>
          <w:szCs w:val="24"/>
          <w:lang w:val="en-US"/>
        </w:rPr>
      </w:pPr>
    </w:p>
    <w:p w14:paraId="13889B65" w14:textId="48F37D70" w:rsidR="00485E71" w:rsidRP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lastRenderedPageBreak/>
        <w:t>6. Hipótesis para la operación</w:t>
      </w:r>
    </w:p>
    <w:p w14:paraId="6CEC658C" w14:textId="40200C5A"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El modelo desarrollado también puede utilizarse para responder preguntas de negocio que resultan relevantes para la gestión de la cartera. Por ejemplo, permite analizar si determinados productos presentan una mayor probabilidad de pago que otros, si el tipo de transacción influye en el comportamiento de los clientes o si las cuentas con mayor saldo pendiente representan un mayor riesgo de incumplimiento.</w:t>
      </w:r>
    </w:p>
    <w:p w14:paraId="4400A22C" w14:textId="77777777"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Asimismo, el cálculo del valor esperado de recuperación facilita la priorización de la gestión de cobranza, permitiendo enfocar los esfuerzos en aquellas cuentas que podrían generar un mayor beneficio económico para la organización.</w:t>
      </w:r>
    </w:p>
    <w:p w14:paraId="675A44A1" w14:textId="77777777" w:rsidR="00485E71" w:rsidRPr="00485E71" w:rsidRDefault="00485E71" w:rsidP="00485E71">
      <w:pPr>
        <w:rPr>
          <w:rFonts w:ascii="Times New Roman" w:hAnsi="Times New Roman" w:cs="Times New Roman"/>
          <w:b/>
          <w:bCs/>
          <w:sz w:val="24"/>
          <w:szCs w:val="24"/>
          <w:lang w:val="es-MX"/>
        </w:rPr>
      </w:pPr>
    </w:p>
    <w:p w14:paraId="7CBA2709" w14:textId="2886AA4B" w:rsidR="00485E71" w:rsidRP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7. Principales hallazgos</w:t>
      </w:r>
    </w:p>
    <w:p w14:paraId="051D578A" w14:textId="513FD1AB"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El análisis realizado evidenció que el comportamiento de la cartera no es homogéneo entre los diferentes productos y tipos de transacción. El dashboard permite identificar fácilmente dónde se concentra el mayor saldo pendiente y cuáles segmentos presentan una mejor expectativa de recuperación.</w:t>
      </w:r>
    </w:p>
    <w:p w14:paraId="51B40453" w14:textId="77777777"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Por otra parte, el modelo predictivo aporta una visión adicional al análisis histórico, ya que no solo muestra el estado actual de la cartera, sino que también estima el comportamiento esperado de las cuentas. Esto convierte la información en una herramienta de apoyo para la toma de decisiones y la planificación de las estrategias de cobranza.</w:t>
      </w:r>
    </w:p>
    <w:p w14:paraId="0216D107" w14:textId="77777777" w:rsidR="00485E71" w:rsidRPr="00485E71" w:rsidRDefault="00485E71" w:rsidP="00485E71">
      <w:pPr>
        <w:rPr>
          <w:rFonts w:ascii="Times New Roman" w:hAnsi="Times New Roman" w:cs="Times New Roman"/>
          <w:b/>
          <w:bCs/>
          <w:sz w:val="24"/>
          <w:szCs w:val="24"/>
          <w:lang w:val="es-MX"/>
        </w:rPr>
      </w:pPr>
    </w:p>
    <w:p w14:paraId="64534F88" w14:textId="185B5F78" w:rsidR="00485E71" w:rsidRP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8. Conclusiones</w:t>
      </w:r>
    </w:p>
    <w:p w14:paraId="211EC517" w14:textId="046A49FA"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El desarrollo de esta solución permitió integrar herramientas de bases de datos, análisis de datos y aprendizaje automático en un único flujo de trabajo. La automatización del proceso reduce el esfuerzo requerido para analizar la cartera y proporciona información que puede ser utilizada para priorizar las actividades operativas.</w:t>
      </w:r>
    </w:p>
    <w:p w14:paraId="347BBFD3" w14:textId="77777777"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El dashboard facilita la interpretación de los resultados mediante indicadores claros y visualizaciones interactivas, mientras que el modelo predictivo aporta un enfoque prospectivo que complementa el análisis tradicional de las cuentas por cobrar.</w:t>
      </w:r>
    </w:p>
    <w:p w14:paraId="0A7ACB89" w14:textId="77777777" w:rsidR="00485E71" w:rsidRPr="00485E71" w:rsidRDefault="00485E71" w:rsidP="00485E71">
      <w:pPr>
        <w:rPr>
          <w:rFonts w:ascii="Times New Roman" w:hAnsi="Times New Roman" w:cs="Times New Roman"/>
          <w:b/>
          <w:bCs/>
          <w:sz w:val="24"/>
          <w:szCs w:val="24"/>
          <w:lang w:val="es-MX"/>
        </w:rPr>
      </w:pPr>
    </w:p>
    <w:p w14:paraId="3CC2CE18" w14:textId="7CA4A4F4" w:rsidR="00485E71" w:rsidRPr="00485E71" w:rsidRDefault="00485E71" w:rsidP="00485E71">
      <w:pPr>
        <w:rPr>
          <w:rFonts w:ascii="Times New Roman" w:hAnsi="Times New Roman" w:cs="Times New Roman"/>
          <w:b/>
          <w:bCs/>
          <w:sz w:val="24"/>
          <w:szCs w:val="24"/>
          <w:lang w:val="es-MX"/>
        </w:rPr>
      </w:pPr>
      <w:r w:rsidRPr="00485E71">
        <w:rPr>
          <w:rFonts w:ascii="Times New Roman" w:hAnsi="Times New Roman" w:cs="Times New Roman"/>
          <w:b/>
          <w:bCs/>
          <w:sz w:val="24"/>
          <w:szCs w:val="24"/>
          <w:lang w:val="es-MX"/>
        </w:rPr>
        <w:t>9. Recomendaciones</w:t>
      </w:r>
    </w:p>
    <w:p w14:paraId="17DE00F9" w14:textId="53591A21"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Como trabajo futuro, se recomienda actualizar periódicamente el modelo utilizando información más reciente para mantener su capacidad predictiva. También sería conveniente incorporar nuevas variables relacionadas con el historial de pagos, el perfil del cliente o la antigüedad de la deuda, ya que estas podrían mejorar el desempeño del modelo.</w:t>
      </w:r>
    </w:p>
    <w:p w14:paraId="02B9BBA3" w14:textId="3AD80595" w:rsidR="00485E71" w:rsidRPr="00485E71" w:rsidRDefault="00485E71" w:rsidP="00485E71">
      <w:pPr>
        <w:rPr>
          <w:rFonts w:ascii="Times New Roman" w:hAnsi="Times New Roman" w:cs="Times New Roman"/>
          <w:sz w:val="24"/>
          <w:szCs w:val="24"/>
          <w:lang w:val="es-MX"/>
        </w:rPr>
      </w:pPr>
      <w:r w:rsidRPr="00485E71">
        <w:rPr>
          <w:rFonts w:ascii="Times New Roman" w:hAnsi="Times New Roman" w:cs="Times New Roman"/>
          <w:sz w:val="24"/>
          <w:szCs w:val="24"/>
          <w:lang w:val="es-MX"/>
        </w:rPr>
        <w:t xml:space="preserve">Finalmente, integrar esta solución dentro del proceso operativo permitiría utilizar las probabilidades de pago y el valor esperado de recuperación como criterios para priorizar la </w:t>
      </w:r>
      <w:r w:rsidRPr="00485E71">
        <w:rPr>
          <w:rFonts w:ascii="Times New Roman" w:hAnsi="Times New Roman" w:cs="Times New Roman"/>
          <w:sz w:val="24"/>
          <w:szCs w:val="24"/>
          <w:lang w:val="es-MX"/>
        </w:rPr>
        <w:lastRenderedPageBreak/>
        <w:t>gestión de cobranza, optimizando el uso de los recursos disponibles y mejorando la eficiencia del proceso.</w:t>
      </w:r>
    </w:p>
    <w:sectPr w:rsidR="00485E71" w:rsidRPr="00485E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944F8"/>
    <w:multiLevelType w:val="hybridMultilevel"/>
    <w:tmpl w:val="08B2F7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624"/>
    <w:rsid w:val="001A1D15"/>
    <w:rsid w:val="00485E71"/>
    <w:rsid w:val="00922FE7"/>
    <w:rsid w:val="009A1624"/>
    <w:rsid w:val="009F6035"/>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6ADE9"/>
  <w15:chartTrackingRefBased/>
  <w15:docId w15:val="{5B3562F9-ADAB-4B77-8B94-2E8EE05CA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E7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5E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1019</Words>
  <Characters>5610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Steven Caro Durango</dc:creator>
  <cp:keywords/>
  <dc:description/>
  <cp:lastModifiedBy>Daniel Steven Caro Durango</cp:lastModifiedBy>
  <cp:revision>2</cp:revision>
  <dcterms:created xsi:type="dcterms:W3CDTF">2026-07-24T10:38:00Z</dcterms:created>
  <dcterms:modified xsi:type="dcterms:W3CDTF">2026-07-24T10:45:00Z</dcterms:modified>
</cp:coreProperties>
</file>