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F9948" w14:textId="40860339" w:rsidR="00967939" w:rsidRDefault="00967939" w:rsidP="00967939">
      <w:pPr>
        <w:jc w:val="center"/>
      </w:pPr>
      <w:r>
        <w:t>Student Investment Fund</w:t>
      </w:r>
    </w:p>
    <w:p w14:paraId="70367E51" w14:textId="0A3A25BD" w:rsidR="00967939" w:rsidRDefault="00967939" w:rsidP="00967939">
      <w:pPr>
        <w:jc w:val="center"/>
      </w:pPr>
      <w:r>
        <w:t>Consumer Discretionary Group</w:t>
      </w:r>
    </w:p>
    <w:p w14:paraId="73C66813" w14:textId="49ECC221" w:rsidR="00967939" w:rsidRDefault="00967939" w:rsidP="00967939">
      <w:pPr>
        <w:jc w:val="center"/>
      </w:pPr>
      <w:r>
        <w:t>Daniel Carpenter, Nikiel Kim, Lee Nero</w:t>
      </w:r>
    </w:p>
    <w:p w14:paraId="1AE048FA" w14:textId="3E7865B5" w:rsidR="00967939" w:rsidRDefault="00967939" w:rsidP="00967939">
      <w:pPr>
        <w:jc w:val="center"/>
      </w:pPr>
      <w:r>
        <w:t>Trade Recommendation for AAN</w:t>
      </w:r>
    </w:p>
    <w:p w14:paraId="2BE2B4EF" w14:textId="3B98199B" w:rsidR="00967939" w:rsidRDefault="00967939" w:rsidP="00967939">
      <w:r>
        <w:t>The Consumer Discretionary group for the University of Oklahoma is writing this document to recommend selling the Fund’s 846 shares in Aaron’s Inc. The groups analyst report on Aaron’s is located on the next page.</w:t>
      </w:r>
    </w:p>
    <w:p w14:paraId="551B1BF6" w14:textId="423B1FC7" w:rsidR="00967939" w:rsidRDefault="00967939" w:rsidP="00967939">
      <w:r>
        <w:br/>
      </w:r>
    </w:p>
    <w:p w14:paraId="713EF5A6" w14:textId="77777777" w:rsidR="00967939" w:rsidRDefault="00967939">
      <w:r>
        <w:br w:type="page"/>
      </w:r>
    </w:p>
    <w:p w14:paraId="4143C97F" w14:textId="77777777" w:rsidR="005C0CA6" w:rsidRPr="00E22B2F" w:rsidRDefault="005C0CA6" w:rsidP="005C0CA6">
      <w:pPr>
        <w:jc w:val="center"/>
        <w:rPr>
          <w:rFonts w:cstheme="minorHAnsi"/>
        </w:rPr>
      </w:pPr>
      <w:r w:rsidRPr="00E22B2F">
        <w:rPr>
          <w:rFonts w:cstheme="minorHAnsi"/>
          <w:noProof/>
        </w:rPr>
        <w:drawing>
          <wp:inline distT="0" distB="0" distL="0" distR="0" wp14:anchorId="2ED320B0" wp14:editId="7499DDE5">
            <wp:extent cx="1857375" cy="18573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8">
                      <a:extLst>
                        <a:ext uri="{28A0092B-C50C-407E-A947-70E740481C1C}">
                          <a14:useLocalDpi xmlns:a14="http://schemas.microsoft.com/office/drawing/2010/main" val="0"/>
                        </a:ext>
                      </a:extLst>
                    </a:blip>
                    <a:stretch>
                      <a:fillRect/>
                    </a:stretch>
                  </pic:blipFill>
                  <pic:spPr>
                    <a:xfrm>
                      <a:off x="0" y="0"/>
                      <a:ext cx="1857375" cy="1857375"/>
                    </a:xfrm>
                    <a:prstGeom prst="rect">
                      <a:avLst/>
                    </a:prstGeom>
                  </pic:spPr>
                </pic:pic>
              </a:graphicData>
            </a:graphic>
          </wp:inline>
        </w:drawing>
      </w:r>
    </w:p>
    <w:p w14:paraId="6095F656" w14:textId="77777777" w:rsidR="005C0CA6" w:rsidRPr="00E22B2F" w:rsidRDefault="005C0CA6" w:rsidP="005C0CA6">
      <w:pPr>
        <w:tabs>
          <w:tab w:val="right" w:pos="9348"/>
        </w:tabs>
        <w:spacing w:after="4" w:line="266" w:lineRule="auto"/>
        <w:rPr>
          <w:rFonts w:eastAsia="Times New Roman" w:cstheme="minorHAnsi"/>
          <w:color w:val="000000"/>
        </w:rPr>
      </w:pPr>
      <w:r w:rsidRPr="00E22B2F">
        <w:rPr>
          <w:rFonts w:eastAsia="Times New Roman" w:cstheme="minorHAnsi"/>
          <w:color w:val="000000"/>
        </w:rPr>
        <w:t>Date: November 10, 2020</w:t>
      </w:r>
      <w:r w:rsidRPr="00E22B2F">
        <w:rPr>
          <w:rFonts w:eastAsia="Times New Roman" w:cstheme="minorHAnsi"/>
          <w:color w:val="000000"/>
        </w:rPr>
        <w:tab/>
        <w:t xml:space="preserve">Forward P/E: </w:t>
      </w:r>
      <w:r w:rsidRPr="00EC0C0B">
        <w:rPr>
          <w:rFonts w:eastAsia="Times New Roman" w:cstheme="minorHAnsi"/>
          <w:color w:val="000000"/>
        </w:rPr>
        <w:t>11.1</w:t>
      </w:r>
      <w:r>
        <w:rPr>
          <w:rFonts w:eastAsia="Times New Roman" w:cstheme="minorHAnsi"/>
          <w:color w:val="000000"/>
        </w:rPr>
        <w:t>9</w:t>
      </w:r>
    </w:p>
    <w:p w14:paraId="74181BFA" w14:textId="77777777" w:rsidR="005C0CA6" w:rsidRPr="00E22B2F" w:rsidRDefault="005C0CA6" w:rsidP="005C0CA6">
      <w:pPr>
        <w:tabs>
          <w:tab w:val="right" w:pos="9348"/>
        </w:tabs>
        <w:spacing w:after="4" w:line="266" w:lineRule="auto"/>
        <w:ind w:left="-15"/>
        <w:rPr>
          <w:rFonts w:eastAsia="Times New Roman" w:cstheme="minorHAnsi"/>
          <w:color w:val="000000"/>
        </w:rPr>
      </w:pPr>
      <w:r w:rsidRPr="00E22B2F">
        <w:rPr>
          <w:rFonts w:eastAsia="Times New Roman" w:cstheme="minorHAnsi"/>
          <w:color w:val="000000"/>
        </w:rPr>
        <w:t>Company Ticker: AAN</w:t>
      </w:r>
      <w:r w:rsidRPr="00E22B2F">
        <w:rPr>
          <w:rFonts w:eastAsia="Times New Roman" w:cstheme="minorHAnsi"/>
          <w:color w:val="000000"/>
        </w:rPr>
        <w:tab/>
        <w:t>Sector Forward P/E: 9.70</w:t>
      </w:r>
    </w:p>
    <w:p w14:paraId="5BF644BF" w14:textId="77777777" w:rsidR="005C0CA6" w:rsidRPr="00E22B2F" w:rsidRDefault="005C0CA6" w:rsidP="005C0CA6">
      <w:pPr>
        <w:tabs>
          <w:tab w:val="right" w:pos="9348"/>
        </w:tabs>
        <w:spacing w:after="4" w:line="266" w:lineRule="auto"/>
        <w:ind w:left="-15"/>
        <w:rPr>
          <w:rFonts w:eastAsia="Times New Roman" w:cstheme="minorHAnsi"/>
          <w:color w:val="000000"/>
        </w:rPr>
      </w:pPr>
      <w:r w:rsidRPr="00E22B2F">
        <w:rPr>
          <w:rFonts w:eastAsia="Times New Roman" w:cstheme="minorHAnsi"/>
          <w:color w:val="000000"/>
        </w:rPr>
        <w:t>Sector: Consumer Discretionary</w:t>
      </w:r>
      <w:r w:rsidRPr="00E22B2F">
        <w:rPr>
          <w:rFonts w:eastAsia="Times New Roman" w:cstheme="minorHAnsi"/>
          <w:color w:val="000000"/>
        </w:rPr>
        <w:tab/>
        <w:t xml:space="preserve">Market Price: </w:t>
      </w:r>
      <w:r w:rsidRPr="006004CA">
        <w:rPr>
          <w:rFonts w:eastAsia="Times New Roman" w:cstheme="minorHAnsi"/>
          <w:color w:val="000000"/>
        </w:rPr>
        <w:t>$60.60</w:t>
      </w:r>
    </w:p>
    <w:p w14:paraId="11B84834" w14:textId="77777777" w:rsidR="005C0CA6" w:rsidRPr="00E22B2F" w:rsidRDefault="005C0CA6" w:rsidP="005C0CA6">
      <w:pPr>
        <w:tabs>
          <w:tab w:val="right" w:pos="9348"/>
        </w:tabs>
        <w:spacing w:after="4" w:line="266" w:lineRule="auto"/>
        <w:ind w:left="-15"/>
        <w:rPr>
          <w:rFonts w:eastAsia="Times New Roman" w:cstheme="minorHAnsi"/>
          <w:color w:val="000000"/>
        </w:rPr>
      </w:pPr>
      <w:r w:rsidRPr="00E22B2F">
        <w:rPr>
          <w:rFonts w:eastAsia="Times New Roman" w:cstheme="minorHAnsi"/>
          <w:color w:val="000000"/>
        </w:rPr>
        <w:t>Industry: Household Durables</w:t>
      </w:r>
      <w:r w:rsidRPr="00E22B2F">
        <w:rPr>
          <w:rFonts w:eastAsia="Times New Roman" w:cstheme="minorHAnsi"/>
          <w:color w:val="000000"/>
        </w:rPr>
        <w:tab/>
        <w:t>Forecasted Price: $</w:t>
      </w:r>
      <w:r>
        <w:rPr>
          <w:rFonts w:eastAsia="Times New Roman" w:cstheme="minorHAnsi"/>
          <w:color w:val="000000"/>
        </w:rPr>
        <w:t>29.77</w:t>
      </w:r>
    </w:p>
    <w:p w14:paraId="65B6AD2F" w14:textId="77777777" w:rsidR="005C0CA6" w:rsidRPr="00E22B2F" w:rsidRDefault="005C0CA6" w:rsidP="005C0CA6">
      <w:pPr>
        <w:jc w:val="center"/>
        <w:rPr>
          <w:rFonts w:cstheme="minorHAnsi"/>
          <w:b/>
          <w:bCs/>
        </w:rPr>
      </w:pPr>
      <w:r w:rsidRPr="00E22B2F">
        <w:rPr>
          <w:rFonts w:cstheme="minorHAnsi"/>
          <w:b/>
          <w:bCs/>
        </w:rPr>
        <w:t>Recommendation: Sell</w:t>
      </w:r>
    </w:p>
    <w:p w14:paraId="2C1ECA0E" w14:textId="77777777" w:rsidR="005C0CA6" w:rsidRPr="00E22B2F" w:rsidRDefault="005C0CA6" w:rsidP="005C0CA6">
      <w:pPr>
        <w:rPr>
          <w:rFonts w:cstheme="minorHAnsi"/>
          <w:b/>
          <w:bCs/>
        </w:rPr>
      </w:pPr>
      <w:r w:rsidRPr="00E22B2F">
        <w:rPr>
          <w:rFonts w:cstheme="minorHAnsi"/>
          <w:b/>
          <w:bCs/>
        </w:rPr>
        <w:t>Company Summary</w:t>
      </w:r>
    </w:p>
    <w:p w14:paraId="343A36BB" w14:textId="77777777" w:rsidR="005C0CA6" w:rsidRPr="00E22B2F" w:rsidRDefault="005C0CA6" w:rsidP="005C0CA6">
      <w:pPr>
        <w:rPr>
          <w:rFonts w:cstheme="minorHAnsi"/>
        </w:rPr>
      </w:pPr>
      <w:r w:rsidRPr="00E22B2F">
        <w:rPr>
          <w:rFonts w:cstheme="minorHAnsi"/>
        </w:rPr>
        <w:t>Aaron’s is a lease-to-own service provider of furniture, consumer electronics, computers, home appliances</w:t>
      </w:r>
      <w:r>
        <w:rPr>
          <w:rFonts w:cstheme="minorHAnsi"/>
        </w:rPr>
        <w:t>,</w:t>
      </w:r>
      <w:r w:rsidRPr="00E22B2F">
        <w:rPr>
          <w:rFonts w:cstheme="minorHAnsi"/>
        </w:rPr>
        <w:t xml:space="preserve"> and accessories. They operate in three core business segments: Aaron’s business, Progressive Leasing, and </w:t>
      </w:r>
      <w:proofErr w:type="spellStart"/>
      <w:r w:rsidRPr="00E22B2F">
        <w:rPr>
          <w:rFonts w:cstheme="minorHAnsi"/>
        </w:rPr>
        <w:t>Vive</w:t>
      </w:r>
      <w:proofErr w:type="spellEnd"/>
      <w:r w:rsidRPr="00E22B2F">
        <w:rPr>
          <w:rFonts w:cstheme="minorHAnsi"/>
        </w:rPr>
        <w:t>. Aaron’s business refer</w:t>
      </w:r>
      <w:r>
        <w:rPr>
          <w:rFonts w:cstheme="minorHAnsi"/>
        </w:rPr>
        <w:t>s</w:t>
      </w:r>
      <w:r w:rsidRPr="00E22B2F">
        <w:rPr>
          <w:rFonts w:cstheme="minorHAnsi"/>
        </w:rPr>
        <w:t xml:space="preserve"> to their brick and mortar stores and e-commerce. Progressive Leasing is a virtual lease-to-own company that provides lease-purchase solutions. </w:t>
      </w:r>
      <w:proofErr w:type="spellStart"/>
      <w:r w:rsidRPr="00E22B2F">
        <w:rPr>
          <w:rFonts w:cstheme="minorHAnsi"/>
        </w:rPr>
        <w:t>Vive</w:t>
      </w:r>
      <w:proofErr w:type="spellEnd"/>
      <w:r w:rsidRPr="00E22B2F">
        <w:rPr>
          <w:rFonts w:cstheme="minorHAnsi"/>
        </w:rPr>
        <w:t xml:space="preserve"> offers customized programs along with services including revolving loans through private label cards.</w:t>
      </w:r>
    </w:p>
    <w:p w14:paraId="38526DE3" w14:textId="77777777" w:rsidR="005C0CA6" w:rsidRPr="00E22B2F" w:rsidRDefault="005C0CA6" w:rsidP="005C0CA6">
      <w:pPr>
        <w:rPr>
          <w:rFonts w:cstheme="minorHAnsi"/>
        </w:rPr>
      </w:pPr>
      <w:r w:rsidRPr="00E22B2F">
        <w:rPr>
          <w:rFonts w:cstheme="minorHAnsi"/>
          <w:b/>
          <w:bCs/>
        </w:rPr>
        <w:t>Industry Outlook</w:t>
      </w:r>
    </w:p>
    <w:p w14:paraId="4D4E8205" w14:textId="77777777" w:rsidR="005C0CA6" w:rsidRPr="00E22B2F" w:rsidRDefault="005C0CA6" w:rsidP="005C0CA6">
      <w:pPr>
        <w:rPr>
          <w:rFonts w:cstheme="minorHAnsi"/>
        </w:rPr>
      </w:pPr>
      <w:r w:rsidRPr="00E22B2F">
        <w:rPr>
          <w:rFonts w:cstheme="minorHAnsi"/>
        </w:rPr>
        <w:t>Aaron’s operates primarily in-home furniture rental, consumer electronics</w:t>
      </w:r>
      <w:r>
        <w:rPr>
          <w:rFonts w:cstheme="minorHAnsi"/>
        </w:rPr>
        <w:t>,</w:t>
      </w:r>
      <w:r w:rsidRPr="00E22B2F">
        <w:rPr>
          <w:rFonts w:cstheme="minorHAnsi"/>
        </w:rPr>
        <w:t xml:space="preserve"> and household appliance rental. The home furniture rental industry is in decline, while the consumer electronics and appliances rental industry is growing. This can </w:t>
      </w:r>
      <w:proofErr w:type="gramStart"/>
      <w:r w:rsidRPr="00E22B2F">
        <w:rPr>
          <w:rFonts w:cstheme="minorHAnsi"/>
        </w:rPr>
        <w:t>be attributed</w:t>
      </w:r>
      <w:proofErr w:type="gramEnd"/>
      <w:r w:rsidRPr="00E22B2F">
        <w:rPr>
          <w:rFonts w:cstheme="minorHAnsi"/>
        </w:rPr>
        <w:t xml:space="preserve"> to a favorable shift in buyer preference towards lease-to-own transactions, the gradual reopening of franchise stores nationwide, and technological advancements in the portfolio of products Aaron’s carries. One thing to observe for Aaron’s and similar companies is the creditworthiness of consumers. If an increasing number of consumers have subprime credit, businesses like Aaron’s will </w:t>
      </w:r>
      <w:proofErr w:type="gramStart"/>
      <w:r w:rsidRPr="00E22B2F">
        <w:rPr>
          <w:rFonts w:cstheme="minorHAnsi"/>
        </w:rPr>
        <w:t>likely see</w:t>
      </w:r>
      <w:proofErr w:type="gramEnd"/>
      <w:r w:rsidRPr="00E22B2F">
        <w:rPr>
          <w:rFonts w:cstheme="minorHAnsi"/>
        </w:rPr>
        <w:t xml:space="preserve"> increased sales. However, the previous yearly and projected declines in non-retail sales significantly hurt Aaron’s growth potential. We believe the market in which Aaron’s e-commerce platform operates is saturated, with larger players possessing greater economies of scale, access to distribution networks, and marketing. </w:t>
      </w:r>
    </w:p>
    <w:p w14:paraId="57DECA83" w14:textId="77777777" w:rsidR="005C0CA6" w:rsidRPr="00E22B2F" w:rsidRDefault="005C0CA6" w:rsidP="005C0CA6">
      <w:pPr>
        <w:rPr>
          <w:rFonts w:cstheme="minorHAnsi"/>
          <w:b/>
          <w:bCs/>
        </w:rPr>
      </w:pPr>
      <w:r w:rsidRPr="00E22B2F">
        <w:rPr>
          <w:rFonts w:cstheme="minorHAnsi"/>
          <w:b/>
          <w:bCs/>
        </w:rPr>
        <w:t>Earnings Forecast</w:t>
      </w:r>
    </w:p>
    <w:p w14:paraId="190BF57C" w14:textId="77777777" w:rsidR="005C0CA6" w:rsidRPr="00E22B2F" w:rsidRDefault="005C0CA6" w:rsidP="005C0CA6">
      <w:pPr>
        <w:rPr>
          <w:rFonts w:cstheme="minorHAnsi"/>
        </w:rPr>
      </w:pPr>
      <w:r w:rsidRPr="00E22B2F">
        <w:rPr>
          <w:rFonts w:cstheme="minorHAnsi"/>
        </w:rPr>
        <w:t xml:space="preserve">The earnings forecast for Aaron’s is based on various drivers, such as current assets as </w:t>
      </w:r>
      <w:r>
        <w:rPr>
          <w:rFonts w:cstheme="minorHAnsi"/>
        </w:rPr>
        <w:t xml:space="preserve">a </w:t>
      </w:r>
      <w:r w:rsidRPr="00E22B2F">
        <w:rPr>
          <w:rFonts w:cstheme="minorHAnsi"/>
        </w:rPr>
        <w:t xml:space="preserve">percentage of sales, debt trends, etc. (see our earnings forecast to view and interact with all drivers and assumptions). Again, while some of these drivers are standard, some are firm/industry specific. An example of a firm specific driver for Aaron’s </w:t>
      </w:r>
      <w:r>
        <w:rPr>
          <w:rFonts w:cstheme="minorHAnsi"/>
        </w:rPr>
        <w:t>d</w:t>
      </w:r>
      <w:r w:rsidRPr="00E22B2F">
        <w:rPr>
          <w:rFonts w:cstheme="minorHAnsi"/>
        </w:rPr>
        <w:t xml:space="preserve">epreciation of lease merchandise as </w:t>
      </w:r>
      <w:r>
        <w:rPr>
          <w:rFonts w:cstheme="minorHAnsi"/>
        </w:rPr>
        <w:t>a percent</w:t>
      </w:r>
      <w:r w:rsidRPr="00E22B2F">
        <w:rPr>
          <w:rFonts w:cstheme="minorHAnsi"/>
        </w:rPr>
        <w:t xml:space="preserve"> of Revenue </w:t>
      </w:r>
      <w:proofErr w:type="spellStart"/>
      <w:r w:rsidRPr="00E22B2F">
        <w:rPr>
          <w:rFonts w:cstheme="minorHAnsi"/>
        </w:rPr>
        <w:t>QoQ</w:t>
      </w:r>
      <w:proofErr w:type="spellEnd"/>
      <w:r>
        <w:rPr>
          <w:rFonts w:cstheme="minorHAnsi"/>
        </w:rPr>
        <w:t xml:space="preserve"> (quarter over quarter)</w:t>
      </w:r>
      <w:r w:rsidRPr="00E22B2F">
        <w:rPr>
          <w:rFonts w:cstheme="minorHAnsi"/>
        </w:rPr>
        <w:t xml:space="preserve">. </w:t>
      </w:r>
      <w:proofErr w:type="gramStart"/>
      <w:r w:rsidRPr="00E22B2F">
        <w:rPr>
          <w:rFonts w:cstheme="minorHAnsi"/>
        </w:rPr>
        <w:t>Almost all</w:t>
      </w:r>
      <w:proofErr w:type="gramEnd"/>
      <w:r w:rsidRPr="00E22B2F">
        <w:rPr>
          <w:rFonts w:cstheme="minorHAnsi"/>
        </w:rPr>
        <w:t xml:space="preserve"> line entries are based on the drivers mentioned above, which are based on historical averages and regression analysis.</w:t>
      </w:r>
    </w:p>
    <w:p w14:paraId="7AD54D1E" w14:textId="77777777" w:rsidR="005C0CA6" w:rsidRPr="00E22B2F" w:rsidRDefault="005C0CA6" w:rsidP="005C0CA6">
      <w:pPr>
        <w:rPr>
          <w:rFonts w:cstheme="minorHAnsi"/>
        </w:rPr>
      </w:pPr>
      <w:r w:rsidRPr="00527915">
        <w:drawing>
          <wp:inline distT="0" distB="0" distL="0" distR="0" wp14:anchorId="4DE291DA" wp14:editId="0802352F">
            <wp:extent cx="6711472" cy="33743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32714" cy="3385059"/>
                    </a:xfrm>
                    <a:prstGeom prst="rect">
                      <a:avLst/>
                    </a:prstGeom>
                    <a:noFill/>
                    <a:ln>
                      <a:noFill/>
                    </a:ln>
                  </pic:spPr>
                </pic:pic>
              </a:graphicData>
            </a:graphic>
          </wp:inline>
        </w:drawing>
      </w:r>
    </w:p>
    <w:p w14:paraId="63FC6524" w14:textId="77777777" w:rsidR="005C0CA6" w:rsidRPr="00E22B2F" w:rsidRDefault="005C0CA6" w:rsidP="005C0CA6">
      <w:pPr>
        <w:rPr>
          <w:rFonts w:cstheme="minorHAnsi"/>
          <w:b/>
          <w:bCs/>
        </w:rPr>
      </w:pPr>
      <w:r w:rsidRPr="00E22B2F">
        <w:rPr>
          <w:rFonts w:cstheme="minorHAnsi"/>
          <w:b/>
          <w:bCs/>
        </w:rPr>
        <w:t>Valuation</w:t>
      </w:r>
    </w:p>
    <w:p w14:paraId="64C10FFC" w14:textId="77777777" w:rsidR="005C0CA6" w:rsidRPr="00E22B2F" w:rsidRDefault="005C0CA6" w:rsidP="005C0CA6">
      <w:pPr>
        <w:rPr>
          <w:rFonts w:cstheme="minorHAnsi"/>
        </w:rPr>
      </w:pPr>
      <w:r w:rsidRPr="00E22B2F">
        <w:rPr>
          <w:rFonts w:cstheme="minorHAnsi"/>
        </w:rPr>
        <w:t xml:space="preserve">A standard long term FCFE growth rate of 3.50% </w:t>
      </w:r>
      <w:proofErr w:type="gramStart"/>
      <w:r w:rsidRPr="00E22B2F">
        <w:rPr>
          <w:rFonts w:cstheme="minorHAnsi"/>
        </w:rPr>
        <w:t>is used</w:t>
      </w:r>
      <w:proofErr w:type="gramEnd"/>
      <w:r w:rsidRPr="00E22B2F">
        <w:rPr>
          <w:rFonts w:cstheme="minorHAnsi"/>
        </w:rPr>
        <w:t xml:space="preserve">, while the short-term growth rate comes from historical trends (averages) year over year. The short-term growth rate we calculated was 8.46%. The Cost of equity is dependent on the long-term growth rate and the firm forward P/E ratio. The cost of equity we calculated was 12.81%. The sector forward P/E ratio </w:t>
      </w:r>
      <w:proofErr w:type="gramStart"/>
      <w:r w:rsidRPr="00E22B2F">
        <w:rPr>
          <w:rFonts w:cstheme="minorHAnsi"/>
        </w:rPr>
        <w:t>was pulled</w:t>
      </w:r>
      <w:proofErr w:type="gramEnd"/>
      <w:r w:rsidRPr="00E22B2F">
        <w:rPr>
          <w:rFonts w:cstheme="minorHAnsi"/>
        </w:rPr>
        <w:t xml:space="preserve"> from </w:t>
      </w:r>
      <w:proofErr w:type="spellStart"/>
      <w:r w:rsidRPr="00E22B2F">
        <w:rPr>
          <w:rFonts w:cstheme="minorHAnsi"/>
        </w:rPr>
        <w:t>Yardini</w:t>
      </w:r>
      <w:proofErr w:type="spellEnd"/>
      <w:r w:rsidRPr="00E22B2F">
        <w:rPr>
          <w:rFonts w:cstheme="minorHAnsi"/>
        </w:rPr>
        <w:t xml:space="preserve"> Research </w:t>
      </w:r>
      <w:r>
        <w:rPr>
          <w:rFonts w:cstheme="minorHAnsi"/>
        </w:rPr>
        <w:t xml:space="preserve">on </w:t>
      </w:r>
      <w:r w:rsidRPr="00E22B2F">
        <w:rPr>
          <w:rFonts w:cstheme="minorHAnsi"/>
        </w:rPr>
        <w:t>November 11</w:t>
      </w:r>
      <w:r w:rsidRPr="00E22B2F">
        <w:rPr>
          <w:rFonts w:cstheme="minorHAnsi"/>
          <w:vertAlign w:val="superscript"/>
        </w:rPr>
        <w:t>th</w:t>
      </w:r>
      <w:r w:rsidRPr="00E22B2F">
        <w:rPr>
          <w:rFonts w:cstheme="minorHAnsi"/>
        </w:rPr>
        <w:t>, 2020.</w:t>
      </w:r>
    </w:p>
    <w:p w14:paraId="5D8F24B1" w14:textId="77777777" w:rsidR="005C0CA6" w:rsidRPr="00E22B2F" w:rsidRDefault="005C0CA6" w:rsidP="005C0CA6">
      <w:pPr>
        <w:rPr>
          <w:rFonts w:cstheme="minorHAnsi"/>
        </w:rPr>
      </w:pPr>
      <w:r w:rsidRPr="00637C73">
        <w:drawing>
          <wp:inline distT="0" distB="0" distL="0" distR="0" wp14:anchorId="57BF0F82" wp14:editId="57C2DA59">
            <wp:extent cx="6711315" cy="9758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65859" cy="998337"/>
                    </a:xfrm>
                    <a:prstGeom prst="rect">
                      <a:avLst/>
                    </a:prstGeom>
                    <a:noFill/>
                    <a:ln>
                      <a:noFill/>
                    </a:ln>
                  </pic:spPr>
                </pic:pic>
              </a:graphicData>
            </a:graphic>
          </wp:inline>
        </w:drawing>
      </w:r>
    </w:p>
    <w:p w14:paraId="577F7497" w14:textId="77777777" w:rsidR="005C0CA6" w:rsidRPr="00E22B2F" w:rsidRDefault="005C0CA6" w:rsidP="005C0CA6">
      <w:pPr>
        <w:rPr>
          <w:rFonts w:cstheme="minorHAnsi"/>
        </w:rPr>
      </w:pPr>
      <w:r w:rsidRPr="004601FA">
        <w:drawing>
          <wp:inline distT="0" distB="0" distL="0" distR="0" wp14:anchorId="693F664A" wp14:editId="40441C8B">
            <wp:extent cx="6724149" cy="2727016"/>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42462" cy="2734443"/>
                    </a:xfrm>
                    <a:prstGeom prst="rect">
                      <a:avLst/>
                    </a:prstGeom>
                    <a:noFill/>
                    <a:ln>
                      <a:noFill/>
                    </a:ln>
                  </pic:spPr>
                </pic:pic>
              </a:graphicData>
            </a:graphic>
          </wp:inline>
        </w:drawing>
      </w:r>
    </w:p>
    <w:p w14:paraId="4FA899F9" w14:textId="77777777" w:rsidR="005C0CA6" w:rsidRPr="00E22B2F" w:rsidRDefault="005C0CA6" w:rsidP="005C0CA6">
      <w:pPr>
        <w:rPr>
          <w:rFonts w:cstheme="minorHAnsi"/>
          <w:b/>
          <w:bCs/>
        </w:rPr>
      </w:pPr>
      <w:r w:rsidRPr="00E22B2F">
        <w:rPr>
          <w:rFonts w:cstheme="minorHAnsi"/>
          <w:b/>
          <w:bCs/>
        </w:rPr>
        <w:t>Sensitivity Analysis</w:t>
      </w:r>
    </w:p>
    <w:p w14:paraId="1227CC7D" w14:textId="77777777" w:rsidR="005C0CA6" w:rsidRPr="00E22B2F" w:rsidRDefault="005C0CA6" w:rsidP="005C0CA6">
      <w:pPr>
        <w:rPr>
          <w:rFonts w:cstheme="minorHAnsi"/>
          <w:b/>
          <w:bCs/>
        </w:rPr>
      </w:pPr>
      <w:r w:rsidRPr="00E22B2F">
        <w:rPr>
          <w:rFonts w:cstheme="minorHAnsi"/>
        </w:rPr>
        <w:t xml:space="preserve">While we have an idea of what the </w:t>
      </w:r>
      <w:proofErr w:type="gramStart"/>
      <w:r w:rsidRPr="00E22B2F">
        <w:rPr>
          <w:rFonts w:cstheme="minorHAnsi"/>
        </w:rPr>
        <w:t>most likely equity</w:t>
      </w:r>
      <w:proofErr w:type="gramEnd"/>
      <w:r w:rsidRPr="00E22B2F">
        <w:rPr>
          <w:rFonts w:cstheme="minorHAnsi"/>
        </w:rPr>
        <w:t xml:space="preserve"> value, and subsequently, the equity value per share is, we have also sketched out other equity values, and the probabilities of these values. The equity value per share that we believe to be </w:t>
      </w:r>
      <w:proofErr w:type="gramStart"/>
      <w:r w:rsidRPr="00E22B2F">
        <w:rPr>
          <w:rFonts w:cstheme="minorHAnsi"/>
        </w:rPr>
        <w:t>most likely is</w:t>
      </w:r>
      <w:proofErr w:type="gramEnd"/>
      <w:r w:rsidRPr="00E22B2F">
        <w:rPr>
          <w:rFonts w:cstheme="minorHAnsi"/>
        </w:rPr>
        <w:t xml:space="preserve"> $</w:t>
      </w:r>
      <w:r>
        <w:rPr>
          <w:rFonts w:cstheme="minorHAnsi"/>
        </w:rPr>
        <w:t>29.77.</w:t>
      </w:r>
    </w:p>
    <w:p w14:paraId="1BDC8186" w14:textId="77777777" w:rsidR="005C0CA6" w:rsidRPr="00E22B2F" w:rsidRDefault="005C0CA6" w:rsidP="005C0CA6">
      <w:pPr>
        <w:rPr>
          <w:rFonts w:cstheme="minorHAnsi"/>
          <w:b/>
          <w:bCs/>
        </w:rPr>
      </w:pPr>
      <w:r w:rsidRPr="002D586E">
        <w:drawing>
          <wp:inline distT="0" distB="0" distL="0" distR="0" wp14:anchorId="1007DD69" wp14:editId="18C5C19D">
            <wp:extent cx="5943600" cy="2406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06650"/>
                    </a:xfrm>
                    <a:prstGeom prst="rect">
                      <a:avLst/>
                    </a:prstGeom>
                    <a:noFill/>
                    <a:ln>
                      <a:noFill/>
                    </a:ln>
                  </pic:spPr>
                </pic:pic>
              </a:graphicData>
            </a:graphic>
          </wp:inline>
        </w:drawing>
      </w:r>
    </w:p>
    <w:p w14:paraId="7561A84D" w14:textId="77777777" w:rsidR="005C0CA6" w:rsidRPr="00E22B2F" w:rsidRDefault="005C0CA6" w:rsidP="005C0CA6">
      <w:pPr>
        <w:rPr>
          <w:rFonts w:cstheme="minorHAnsi"/>
          <w:b/>
          <w:bCs/>
        </w:rPr>
      </w:pPr>
      <w:r w:rsidRPr="00E22B2F">
        <w:rPr>
          <w:rFonts w:cstheme="minorHAnsi"/>
          <w:b/>
          <w:bCs/>
        </w:rPr>
        <w:t>Conclusion</w:t>
      </w:r>
    </w:p>
    <w:p w14:paraId="3E827BC6" w14:textId="77777777" w:rsidR="005C0CA6" w:rsidRPr="00E22B2F" w:rsidRDefault="005C0CA6" w:rsidP="005C0CA6">
      <w:pPr>
        <w:rPr>
          <w:rFonts w:cstheme="minorHAnsi"/>
        </w:rPr>
      </w:pPr>
      <w:r w:rsidRPr="00E22B2F">
        <w:rPr>
          <w:rFonts w:cstheme="minorHAnsi"/>
        </w:rPr>
        <w:t xml:space="preserve">Based on the above analysis and calculations, we are recommending that the fund sell its positions in Aaron’s. We believe that the shares </w:t>
      </w:r>
      <w:proofErr w:type="gramStart"/>
      <w:r w:rsidRPr="00E22B2F">
        <w:rPr>
          <w:rFonts w:cstheme="minorHAnsi"/>
        </w:rPr>
        <w:t>are currently overvalued</w:t>
      </w:r>
      <w:proofErr w:type="gramEnd"/>
      <w:r w:rsidRPr="00E22B2F">
        <w:rPr>
          <w:rFonts w:cstheme="minorHAnsi"/>
        </w:rPr>
        <w:t xml:space="preserve"> by around 5</w:t>
      </w:r>
      <w:r>
        <w:rPr>
          <w:rFonts w:cstheme="minorHAnsi"/>
        </w:rPr>
        <w:t>0</w:t>
      </w:r>
      <w:r w:rsidRPr="00E22B2F">
        <w:rPr>
          <w:rFonts w:cstheme="minorHAnsi"/>
        </w:rPr>
        <w:t>%, with a</w:t>
      </w:r>
      <w:r>
        <w:rPr>
          <w:rFonts w:cstheme="minorHAnsi"/>
        </w:rPr>
        <w:t>n</w:t>
      </w:r>
      <w:r w:rsidRPr="00E22B2F">
        <w:rPr>
          <w:rFonts w:cstheme="minorHAnsi"/>
        </w:rPr>
        <w:t xml:space="preserve"> equity value per share of $</w:t>
      </w:r>
      <w:r>
        <w:rPr>
          <w:rFonts w:cstheme="minorHAnsi"/>
        </w:rPr>
        <w:t>29</w:t>
      </w:r>
      <w:r w:rsidRPr="00E22B2F">
        <w:rPr>
          <w:rFonts w:cstheme="minorHAnsi"/>
        </w:rPr>
        <w:t>.</w:t>
      </w:r>
      <w:r>
        <w:rPr>
          <w:rFonts w:cstheme="minorHAnsi"/>
        </w:rPr>
        <w:t>77</w:t>
      </w:r>
      <w:r w:rsidRPr="00E22B2F">
        <w:rPr>
          <w:rFonts w:cstheme="minorHAnsi"/>
        </w:rPr>
        <w:t>, compared to the price of $</w:t>
      </w:r>
      <w:r>
        <w:rPr>
          <w:rFonts w:cstheme="minorHAnsi"/>
        </w:rPr>
        <w:t>60.60</w:t>
      </w:r>
      <w:r w:rsidRPr="00E22B2F">
        <w:rPr>
          <w:rFonts w:cstheme="minorHAnsi"/>
        </w:rPr>
        <w:t>.</w:t>
      </w:r>
    </w:p>
    <w:p w14:paraId="25B595A8" w14:textId="3B90E8E7" w:rsidR="00967939" w:rsidRDefault="00967939" w:rsidP="00967939"/>
    <w:sectPr w:rsidR="00967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0NDC3MDQ1tjQysrBQ0lEKTi0uzszPAykwrAUAjM6PsywAAAA="/>
  </w:docVars>
  <w:rsids>
    <w:rsidRoot w:val="00967939"/>
    <w:rsid w:val="000B786B"/>
    <w:rsid w:val="002D6032"/>
    <w:rsid w:val="00333F5E"/>
    <w:rsid w:val="0044660A"/>
    <w:rsid w:val="005C0CA6"/>
    <w:rsid w:val="00967939"/>
    <w:rsid w:val="00AE7FEA"/>
    <w:rsid w:val="00E67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151D2"/>
  <w15:chartTrackingRefBased/>
  <w15:docId w15:val="{EB54EE29-11A5-4135-8612-83CECEBA6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emf"/><Relationship Id="rId5" Type="http://schemas.openxmlformats.org/officeDocument/2006/relationships/styles" Target="styles.xml"/><Relationship Id="rId10" Type="http://schemas.openxmlformats.org/officeDocument/2006/relationships/image" Target="media/image3.emf"/><Relationship Id="rId4" Type="http://schemas.openxmlformats.org/officeDocument/2006/relationships/numbering" Target="numbering.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D597F8CCAC22A44A15B17FDC2F22940" ma:contentTypeVersion="4" ma:contentTypeDescription="Create a new document." ma:contentTypeScope="" ma:versionID="a1580ca301b4181431a53ce84df76c26">
  <xsd:schema xmlns:xsd="http://www.w3.org/2001/XMLSchema" xmlns:xs="http://www.w3.org/2001/XMLSchema" xmlns:p="http://schemas.microsoft.com/office/2006/metadata/properties" xmlns:ns2="36abb409-a4e2-4f01-93e5-51e136a2f211" targetNamespace="http://schemas.microsoft.com/office/2006/metadata/properties" ma:root="true" ma:fieldsID="2b38813b0d9a50e9d226e8b40486e391" ns2:_="">
    <xsd:import namespace="36abb409-a4e2-4f01-93e5-51e136a2f21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abb409-a4e2-4f01-93e5-51e136a2f2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C8B33E-B9BF-4B6F-930D-22B04C79BB61}">
  <ds:schemaRefs>
    <ds:schemaRef ds:uri="http://schemas.microsoft.com/sharepoint/v3/contenttype/forms"/>
  </ds:schemaRefs>
</ds:datastoreItem>
</file>

<file path=customXml/itemProps2.xml><?xml version="1.0" encoding="utf-8"?>
<ds:datastoreItem xmlns:ds="http://schemas.openxmlformats.org/officeDocument/2006/customXml" ds:itemID="{479B4544-725B-4507-AC44-5B216B1272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abb409-a4e2-4f01-93e5-51e136a2f2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9C9653-0BA3-4618-8168-5ED67F5D95E7}">
  <ds:schemaRefs>
    <ds:schemaRef ds:uri="http://purl.org/dc/dcmitype/"/>
    <ds:schemaRef ds:uri="http://schemas.microsoft.com/office/2006/documentManagement/types"/>
    <ds:schemaRef ds:uri="http://schemas.microsoft.com/office/infopath/2007/PartnerControls"/>
    <ds:schemaRef ds:uri="36abb409-a4e2-4f01-93e5-51e136a2f211"/>
    <ds:schemaRef ds:uri="http://purl.org/dc/elements/1.1/"/>
    <ds:schemaRef ds:uri="http://schemas.openxmlformats.org/package/2006/metadata/core-properties"/>
    <ds:schemaRef ds:uri="http://schemas.microsoft.com/office/2006/metadata/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541</Words>
  <Characters>3088</Characters>
  <Application>Microsoft Office Word</Application>
  <DocSecurity>4</DocSecurity>
  <Lines>25</Lines>
  <Paragraphs>7</Paragraphs>
  <ScaleCrop>false</ScaleCrop>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Nero, Lee A.</dc:creator>
  <cp:keywords/>
  <dc:description/>
  <cp:lastModifiedBy>Carpenter, Daniel B.</cp:lastModifiedBy>
  <cp:revision>9</cp:revision>
  <dcterms:created xsi:type="dcterms:W3CDTF">2020-11-18T03:07:00Z</dcterms:created>
  <dcterms:modified xsi:type="dcterms:W3CDTF">2020-11-18T18:35:00Z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0x0101003D597F8CCAC22A44A15B17FDC2F22940</vt:lpwstr>
  </property>
</Properties>
</file>