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C1ED" w14:textId="68D8DEC9" w:rsidR="00872949" w:rsidRPr="00E22B2F" w:rsidRDefault="00872949" w:rsidP="002E539D">
      <w:pPr>
        <w:jc w:val="center"/>
        <w:rPr>
          <w:rFonts w:cstheme="minorHAnsi"/>
        </w:rPr>
      </w:pPr>
      <w:r w:rsidRPr="00E22B2F">
        <w:rPr>
          <w:rFonts w:cstheme="minorHAnsi"/>
        </w:rPr>
        <w:t>Consumer Discretionary Analyst Report: Daniel Carpenter, Nikiel Kim, Lee Nero</w:t>
      </w:r>
    </w:p>
    <w:p w14:paraId="4A6D1D48" w14:textId="3A28EB7A" w:rsidR="00872949" w:rsidRPr="00E22B2F" w:rsidRDefault="00872949" w:rsidP="002E539D">
      <w:pPr>
        <w:jc w:val="center"/>
        <w:rPr>
          <w:rFonts w:cstheme="minorHAnsi"/>
        </w:rPr>
      </w:pPr>
      <w:r w:rsidRPr="00E22B2F">
        <w:rPr>
          <w:rFonts w:cstheme="minorHAnsi"/>
        </w:rPr>
        <w:t>Michael F. Price Student Investment Fund</w:t>
      </w:r>
    </w:p>
    <w:p w14:paraId="4EDE8CFF" w14:textId="3F85AF86" w:rsidR="00872949" w:rsidRPr="00E22B2F" w:rsidRDefault="00872949" w:rsidP="002E539D">
      <w:pPr>
        <w:jc w:val="center"/>
        <w:rPr>
          <w:rFonts w:cstheme="minorHAnsi"/>
        </w:rPr>
      </w:pPr>
      <w:r w:rsidRPr="00E22B2F">
        <w:rPr>
          <w:rFonts w:cstheme="minorHAnsi"/>
        </w:rPr>
        <w:t>November 10, 202</w:t>
      </w:r>
      <w:r w:rsidR="005939F6" w:rsidRPr="00E22B2F">
        <w:rPr>
          <w:rFonts w:cstheme="minorHAnsi"/>
        </w:rPr>
        <w:t>0</w:t>
      </w:r>
    </w:p>
    <w:p w14:paraId="5F996E0C" w14:textId="11448570" w:rsidR="002E539D" w:rsidRPr="00E22B2F" w:rsidRDefault="002E539D" w:rsidP="002E539D">
      <w:pPr>
        <w:jc w:val="center"/>
        <w:rPr>
          <w:rFonts w:cstheme="minorHAnsi"/>
        </w:rPr>
      </w:pPr>
      <w:r w:rsidRPr="00E22B2F">
        <w:rPr>
          <w:rFonts w:cstheme="minorHAnsi"/>
          <w:noProof/>
        </w:rPr>
        <w:drawing>
          <wp:inline distT="0" distB="0" distL="0" distR="0" wp14:anchorId="5E9FA0B9" wp14:editId="6042D659">
            <wp:extent cx="1645920" cy="1097280"/>
            <wp:effectExtent l="0" t="0" r="0" b="7620"/>
            <wp:docPr id="1" name="Picture 1" descr="New Home Builder | New Home Construction - M/I H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097280"/>
                    </a:xfrm>
                    <a:prstGeom prst="rect">
                      <a:avLst/>
                    </a:prstGeom>
                  </pic:spPr>
                </pic:pic>
              </a:graphicData>
            </a:graphic>
          </wp:inline>
        </w:drawing>
      </w:r>
    </w:p>
    <w:p w14:paraId="2907F349" w14:textId="12D4C974" w:rsidR="00342C64" w:rsidRPr="00E22B2F" w:rsidRDefault="00342C64" w:rsidP="00342C64">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Date: November 1</w:t>
      </w:r>
      <w:r w:rsidR="00C25D79" w:rsidRPr="00E22B2F">
        <w:rPr>
          <w:rFonts w:eastAsia="Times New Roman" w:cstheme="minorHAnsi"/>
          <w:color w:val="000000"/>
        </w:rPr>
        <w:t>8</w:t>
      </w:r>
      <w:r w:rsidRPr="00E22B2F">
        <w:rPr>
          <w:rFonts w:eastAsia="Times New Roman" w:cstheme="minorHAnsi"/>
          <w:color w:val="000000"/>
        </w:rPr>
        <w:t>, 2020</w:t>
      </w:r>
      <w:r w:rsidRPr="00E22B2F">
        <w:rPr>
          <w:rFonts w:eastAsia="Times New Roman" w:cstheme="minorHAnsi"/>
          <w:color w:val="000000"/>
        </w:rPr>
        <w:tab/>
        <w:t xml:space="preserve">Forward P/E: </w:t>
      </w:r>
      <w:r w:rsidR="00B30C6D" w:rsidRPr="00E22B2F">
        <w:rPr>
          <w:rFonts w:eastAsia="Times New Roman" w:cstheme="minorHAnsi"/>
          <w:color w:val="000000"/>
        </w:rPr>
        <w:t>6.52</w:t>
      </w:r>
    </w:p>
    <w:p w14:paraId="310D05AC" w14:textId="4016D7E0" w:rsidR="00342C64" w:rsidRPr="00E22B2F" w:rsidRDefault="00342C64" w:rsidP="00342C64">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Company Ticker: MHO</w:t>
      </w:r>
      <w:r w:rsidRPr="00E22B2F">
        <w:rPr>
          <w:rFonts w:eastAsia="Times New Roman" w:cstheme="minorHAnsi"/>
          <w:color w:val="000000"/>
        </w:rPr>
        <w:tab/>
        <w:t>Sector Forward P/E: 9.</w:t>
      </w:r>
      <w:r w:rsidR="00E54198" w:rsidRPr="00E22B2F">
        <w:rPr>
          <w:rFonts w:eastAsia="Times New Roman" w:cstheme="minorHAnsi"/>
          <w:color w:val="000000"/>
        </w:rPr>
        <w:t>70</w:t>
      </w:r>
    </w:p>
    <w:p w14:paraId="5B9F5C44" w14:textId="320AFDA8" w:rsidR="00342C64" w:rsidRPr="00E22B2F" w:rsidRDefault="00342C64" w:rsidP="00342C64">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Sector: Consumer Discretionary</w:t>
      </w:r>
      <w:r w:rsidRPr="00E22B2F">
        <w:rPr>
          <w:rFonts w:eastAsia="Times New Roman" w:cstheme="minorHAnsi"/>
          <w:color w:val="000000"/>
        </w:rPr>
        <w:tab/>
        <w:t xml:space="preserve">Market Price: </w:t>
      </w:r>
      <w:r w:rsidR="00482092" w:rsidRPr="00E22B2F">
        <w:rPr>
          <w:rFonts w:eastAsia="Times New Roman" w:cstheme="minorHAnsi"/>
          <w:color w:val="000000"/>
        </w:rPr>
        <w:t>$</w:t>
      </w:r>
      <w:r w:rsidR="00F363C5" w:rsidRPr="00E22B2F">
        <w:rPr>
          <w:rFonts w:eastAsia="Times New Roman" w:cstheme="minorHAnsi"/>
          <w:color w:val="000000"/>
        </w:rPr>
        <w:t>44.54</w:t>
      </w:r>
    </w:p>
    <w:p w14:paraId="0BA3932B" w14:textId="49C030AD" w:rsidR="00342C64" w:rsidRPr="00E22B2F" w:rsidRDefault="00342C64" w:rsidP="00342C64">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Industry: Household Durables</w:t>
      </w:r>
      <w:r w:rsidRPr="00E22B2F">
        <w:rPr>
          <w:rFonts w:eastAsia="Times New Roman" w:cstheme="minorHAnsi"/>
          <w:color w:val="000000"/>
        </w:rPr>
        <w:tab/>
        <w:t xml:space="preserve">Forecasted Price: </w:t>
      </w:r>
      <w:r w:rsidR="00A6699E" w:rsidRPr="00E22B2F">
        <w:rPr>
          <w:rFonts w:eastAsia="Times New Roman" w:cstheme="minorHAnsi"/>
          <w:color w:val="000000"/>
        </w:rPr>
        <w:t>$</w:t>
      </w:r>
      <w:r w:rsidR="00837A61" w:rsidRPr="00E22B2F">
        <w:rPr>
          <w:rFonts w:eastAsia="Times New Roman" w:cstheme="minorHAnsi"/>
          <w:color w:val="000000"/>
        </w:rPr>
        <w:t>35.83</w:t>
      </w:r>
    </w:p>
    <w:p w14:paraId="0FA7CCA5" w14:textId="086C8C42" w:rsidR="00342C64" w:rsidRPr="00E22B2F" w:rsidRDefault="00342C64" w:rsidP="00342C64">
      <w:pPr>
        <w:jc w:val="center"/>
        <w:rPr>
          <w:rFonts w:cstheme="minorHAnsi"/>
          <w:b/>
          <w:bCs/>
        </w:rPr>
      </w:pPr>
      <w:r w:rsidRPr="00E22B2F">
        <w:rPr>
          <w:rFonts w:cstheme="minorHAnsi"/>
          <w:b/>
          <w:bCs/>
        </w:rPr>
        <w:t>Recommendation: Sell</w:t>
      </w:r>
    </w:p>
    <w:p w14:paraId="14EEA717" w14:textId="0AED2505" w:rsidR="00342C64" w:rsidRPr="00E22B2F" w:rsidRDefault="00342C64" w:rsidP="00342C64">
      <w:pPr>
        <w:rPr>
          <w:rFonts w:cstheme="minorHAnsi"/>
          <w:b/>
          <w:bCs/>
        </w:rPr>
      </w:pPr>
      <w:r w:rsidRPr="00E22B2F">
        <w:rPr>
          <w:rFonts w:cstheme="minorHAnsi"/>
          <w:b/>
          <w:bCs/>
        </w:rPr>
        <w:t>Company Summary</w:t>
      </w:r>
      <w:r w:rsidR="0091269D" w:rsidRPr="00E22B2F">
        <w:rPr>
          <w:rFonts w:cstheme="minorHAnsi"/>
          <w:b/>
          <w:bCs/>
        </w:rPr>
        <w:br/>
      </w:r>
      <w:r w:rsidRPr="00E22B2F">
        <w:rPr>
          <w:rFonts w:cstheme="minorHAnsi"/>
        </w:rPr>
        <w:t xml:space="preserve">M/I </w:t>
      </w:r>
      <w:r w:rsidR="00A6699E" w:rsidRPr="00E22B2F">
        <w:rPr>
          <w:rFonts w:cstheme="minorHAnsi"/>
        </w:rPr>
        <w:t>H</w:t>
      </w:r>
      <w:r w:rsidRPr="00E22B2F">
        <w:rPr>
          <w:rFonts w:cstheme="minorHAnsi"/>
        </w:rPr>
        <w:t>omes is a single-family homebuilder who also offers mortgage</w:t>
      </w:r>
      <w:r w:rsidR="00287207" w:rsidRPr="00E22B2F">
        <w:rPr>
          <w:rFonts w:cstheme="minorHAnsi"/>
        </w:rPr>
        <w:t>-</w:t>
      </w:r>
      <w:r w:rsidRPr="00E22B2F">
        <w:rPr>
          <w:rFonts w:cstheme="minorHAnsi"/>
        </w:rPr>
        <w:t>banking services to home buyers and title services.</w:t>
      </w:r>
      <w:r w:rsidR="00A6699E" w:rsidRPr="00E22B2F">
        <w:rPr>
          <w:rFonts w:cstheme="minorHAnsi"/>
        </w:rPr>
        <w:t xml:space="preserve"> Their homebuilding operations </w:t>
      </w:r>
      <w:r w:rsidR="00F363C5" w:rsidRPr="00E22B2F">
        <w:rPr>
          <w:rFonts w:cstheme="minorHAnsi"/>
        </w:rPr>
        <w:t>are</w:t>
      </w:r>
      <w:r w:rsidR="00A6699E" w:rsidRPr="00E22B2F">
        <w:rPr>
          <w:rFonts w:cstheme="minorHAnsi"/>
        </w:rPr>
        <w:t xml:space="preserve"> designing, marketing, and construction</w:t>
      </w:r>
      <w:r w:rsidR="00A042A6" w:rsidRPr="00E22B2F">
        <w:rPr>
          <w:rFonts w:cstheme="minorHAnsi"/>
        </w:rPr>
        <w:t>,</w:t>
      </w:r>
      <w:r w:rsidR="00A6699E" w:rsidRPr="00E22B2F">
        <w:rPr>
          <w:rFonts w:cstheme="minorHAnsi"/>
        </w:rPr>
        <w:t xml:space="preserve"> and sales of single-family homes and attached townhomes.</w:t>
      </w:r>
      <w:r w:rsidRPr="00E22B2F">
        <w:rPr>
          <w:rFonts w:cstheme="minorHAnsi"/>
        </w:rPr>
        <w:t xml:space="preserve"> </w:t>
      </w:r>
      <w:r w:rsidR="005423BF" w:rsidRPr="00E22B2F">
        <w:rPr>
          <w:rFonts w:cstheme="minorHAnsi"/>
        </w:rPr>
        <w:t xml:space="preserve">M/I </w:t>
      </w:r>
      <w:r w:rsidR="00F363C5" w:rsidRPr="00E22B2F">
        <w:rPr>
          <w:rFonts w:cstheme="minorHAnsi"/>
        </w:rPr>
        <w:t xml:space="preserve">Homes </w:t>
      </w:r>
      <w:r w:rsidR="005423BF" w:rsidRPr="00E22B2F">
        <w:rPr>
          <w:rFonts w:cstheme="minorHAnsi"/>
        </w:rPr>
        <w:t>operates across three major business segments: Northern Homebuilding, Southern Homebuilding, and Financial Services.</w:t>
      </w:r>
      <w:r w:rsidR="00A6699E" w:rsidRPr="00E22B2F">
        <w:rPr>
          <w:rFonts w:cstheme="minorHAnsi"/>
        </w:rPr>
        <w:t xml:space="preserve"> The Financials Services segment provides mortgages, title insurance</w:t>
      </w:r>
      <w:r w:rsidR="00A042A6" w:rsidRPr="00E22B2F">
        <w:rPr>
          <w:rFonts w:cstheme="minorHAnsi"/>
        </w:rPr>
        <w:t>,</w:t>
      </w:r>
      <w:r w:rsidR="00A6699E" w:rsidRPr="00E22B2F">
        <w:rPr>
          <w:rFonts w:cstheme="minorHAnsi"/>
        </w:rPr>
        <w:t xml:space="preserve"> and closing services through its subsidiary, M/I financial.</w:t>
      </w:r>
    </w:p>
    <w:p w14:paraId="6544E5FD" w14:textId="736CCE87" w:rsidR="00A6699E" w:rsidRPr="00E22B2F" w:rsidRDefault="00A6699E">
      <w:pPr>
        <w:rPr>
          <w:rFonts w:cstheme="minorHAnsi"/>
        </w:rPr>
      </w:pPr>
      <w:r w:rsidRPr="00E22B2F">
        <w:rPr>
          <w:rFonts w:cstheme="minorHAnsi"/>
          <w:b/>
          <w:bCs/>
        </w:rPr>
        <w:t>Industry Outlook</w:t>
      </w:r>
      <w:r w:rsidRPr="00E22B2F">
        <w:rPr>
          <w:rFonts w:cstheme="minorHAnsi"/>
        </w:rPr>
        <w:br/>
      </w:r>
      <w:r w:rsidR="00875038" w:rsidRPr="00E22B2F">
        <w:rPr>
          <w:rFonts w:cstheme="minorHAnsi"/>
        </w:rPr>
        <w:t>Per IBISWorld, revenue for the US homebuilder industry is expected to grow at a yearly rate of 2.6%</w:t>
      </w:r>
      <w:r w:rsidR="001751B8" w:rsidRPr="00E22B2F">
        <w:rPr>
          <w:rFonts w:cstheme="minorHAnsi"/>
        </w:rPr>
        <w:t xml:space="preserve"> over the next five years</w:t>
      </w:r>
      <w:r w:rsidR="00875038" w:rsidRPr="00E22B2F">
        <w:rPr>
          <w:rFonts w:cstheme="minorHAnsi"/>
        </w:rPr>
        <w:t>. A short-term burst in activity is likely for homebuilders, as near</w:t>
      </w:r>
      <w:r w:rsidR="00A042A6" w:rsidRPr="00E22B2F">
        <w:rPr>
          <w:rFonts w:cstheme="minorHAnsi"/>
        </w:rPr>
        <w:t>-</w:t>
      </w:r>
      <w:r w:rsidR="00875038" w:rsidRPr="00E22B2F">
        <w:rPr>
          <w:rFonts w:cstheme="minorHAnsi"/>
        </w:rPr>
        <w:t xml:space="preserve">zero interest rates will lead to an increase in the construction of homes. However, </w:t>
      </w:r>
      <w:r w:rsidR="72941E36" w:rsidRPr="00E22B2F">
        <w:rPr>
          <w:rFonts w:cstheme="minorHAnsi"/>
        </w:rPr>
        <w:t xml:space="preserve">we believe that a return to moderate interest rate levels in </w:t>
      </w:r>
      <w:r w:rsidR="1A170AAC" w:rsidRPr="00E22B2F">
        <w:rPr>
          <w:rFonts w:cstheme="minorHAnsi"/>
        </w:rPr>
        <w:t>the short-to-mid-term will ease growth in the housing market</w:t>
      </w:r>
      <w:r w:rsidR="3FCE7C85" w:rsidRPr="00E22B2F">
        <w:rPr>
          <w:rFonts w:cstheme="minorHAnsi"/>
        </w:rPr>
        <w:t xml:space="preserve"> – resulting in increased inventory levels and </w:t>
      </w:r>
      <w:r w:rsidR="2518BCD8" w:rsidRPr="00E22B2F">
        <w:rPr>
          <w:rFonts w:cstheme="minorHAnsi"/>
        </w:rPr>
        <w:t xml:space="preserve">a decline in new contracts. </w:t>
      </w:r>
      <w:r w:rsidR="1F281F7C" w:rsidRPr="00E22B2F">
        <w:rPr>
          <w:rFonts w:cstheme="minorHAnsi"/>
        </w:rPr>
        <w:t xml:space="preserve">Following economic recovery from COVID-19, the industry faces </w:t>
      </w:r>
      <w:r w:rsidR="2518BCD8" w:rsidRPr="00E22B2F">
        <w:rPr>
          <w:rFonts w:cstheme="minorHAnsi"/>
        </w:rPr>
        <w:t>uncertainty in consumer creditworthiness</w:t>
      </w:r>
      <w:r w:rsidR="00428853" w:rsidRPr="00E22B2F">
        <w:rPr>
          <w:rFonts w:cstheme="minorHAnsi"/>
        </w:rPr>
        <w:t xml:space="preserve">, </w:t>
      </w:r>
      <w:r w:rsidR="00A042A6" w:rsidRPr="00E22B2F">
        <w:rPr>
          <w:rFonts w:cstheme="minorHAnsi"/>
        </w:rPr>
        <w:t xml:space="preserve">a </w:t>
      </w:r>
      <w:r w:rsidR="06A91EB7" w:rsidRPr="00E22B2F">
        <w:rPr>
          <w:rFonts w:cstheme="minorHAnsi"/>
        </w:rPr>
        <w:t xml:space="preserve">continuing </w:t>
      </w:r>
      <w:r w:rsidR="00428853" w:rsidRPr="00E22B2F">
        <w:rPr>
          <w:rFonts w:cstheme="minorHAnsi"/>
        </w:rPr>
        <w:t>increase in the price of raw materials needed for home construction, and an</w:t>
      </w:r>
      <w:r w:rsidR="338CB23D" w:rsidRPr="00E22B2F">
        <w:rPr>
          <w:rFonts w:cstheme="minorHAnsi"/>
        </w:rPr>
        <w:t xml:space="preserve"> </w:t>
      </w:r>
      <w:r w:rsidR="30608398" w:rsidRPr="00E22B2F">
        <w:rPr>
          <w:rFonts w:cstheme="minorHAnsi"/>
        </w:rPr>
        <w:t xml:space="preserve">unlikely increase </w:t>
      </w:r>
      <w:r w:rsidR="7B19882D" w:rsidRPr="00E22B2F">
        <w:rPr>
          <w:rFonts w:cstheme="minorHAnsi"/>
        </w:rPr>
        <w:t xml:space="preserve">in </w:t>
      </w:r>
      <w:r w:rsidR="30608398" w:rsidRPr="00E22B2F">
        <w:rPr>
          <w:rFonts w:cstheme="minorHAnsi"/>
        </w:rPr>
        <w:t>millennial</w:t>
      </w:r>
      <w:r w:rsidR="04C2E9CA" w:rsidRPr="00E22B2F">
        <w:rPr>
          <w:rFonts w:cstheme="minorHAnsi"/>
        </w:rPr>
        <w:t xml:space="preserve"> demand for</w:t>
      </w:r>
      <w:r w:rsidR="2518BCD8" w:rsidRPr="00E22B2F">
        <w:rPr>
          <w:rFonts w:cstheme="minorHAnsi"/>
        </w:rPr>
        <w:t xml:space="preserve"> homeown</w:t>
      </w:r>
      <w:r w:rsidR="38053283" w:rsidRPr="00E22B2F">
        <w:rPr>
          <w:rFonts w:cstheme="minorHAnsi"/>
        </w:rPr>
        <w:t>ership</w:t>
      </w:r>
      <w:r w:rsidR="50237BE0" w:rsidRPr="00E22B2F">
        <w:rPr>
          <w:rFonts w:cstheme="minorHAnsi"/>
        </w:rPr>
        <w:t>.</w:t>
      </w:r>
      <w:r w:rsidR="0CF9828D" w:rsidRPr="00E22B2F">
        <w:rPr>
          <w:rFonts w:cstheme="minorHAnsi"/>
        </w:rPr>
        <w:t xml:space="preserve"> </w:t>
      </w:r>
      <w:r w:rsidR="577962D0" w:rsidRPr="00E22B2F">
        <w:rPr>
          <w:rFonts w:cstheme="minorHAnsi"/>
        </w:rPr>
        <w:t xml:space="preserve">MHO is uniquely exposed to these factors because of its </w:t>
      </w:r>
      <w:r w:rsidR="24A07681" w:rsidRPr="00E22B2F">
        <w:rPr>
          <w:rFonts w:cstheme="minorHAnsi"/>
        </w:rPr>
        <w:t>homebuilding operations.</w:t>
      </w:r>
    </w:p>
    <w:p w14:paraId="57B2EC57" w14:textId="6547FE41" w:rsidR="00DD473F" w:rsidRPr="00E22B2F" w:rsidRDefault="00CB07EA" w:rsidP="00342C64">
      <w:pPr>
        <w:rPr>
          <w:rFonts w:cstheme="minorHAnsi"/>
          <w:b/>
          <w:bCs/>
        </w:rPr>
      </w:pPr>
      <w:r w:rsidRPr="00E22B2F">
        <w:rPr>
          <w:rFonts w:cstheme="minorHAnsi"/>
          <w:b/>
          <w:bCs/>
        </w:rPr>
        <w:t>Earnings Forecast</w:t>
      </w:r>
    </w:p>
    <w:p w14:paraId="40F6B5A5" w14:textId="3E615A27" w:rsidR="00383CD8" w:rsidRPr="00E22B2F" w:rsidRDefault="00AE5AFA" w:rsidP="00342C64">
      <w:pPr>
        <w:rPr>
          <w:rFonts w:cstheme="minorHAnsi"/>
        </w:rPr>
      </w:pPr>
      <w:r w:rsidRPr="00E22B2F">
        <w:rPr>
          <w:rFonts w:cstheme="minorHAnsi"/>
          <w:noProof/>
        </w:rPr>
        <w:drawing>
          <wp:inline distT="0" distB="0" distL="0" distR="0" wp14:anchorId="51762427" wp14:editId="6C661CC3">
            <wp:extent cx="6654756" cy="16132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223" cy="1617202"/>
                    </a:xfrm>
                    <a:prstGeom prst="rect">
                      <a:avLst/>
                    </a:prstGeom>
                    <a:noFill/>
                    <a:ln>
                      <a:noFill/>
                    </a:ln>
                  </pic:spPr>
                </pic:pic>
              </a:graphicData>
            </a:graphic>
          </wp:inline>
        </w:drawing>
      </w:r>
    </w:p>
    <w:p w14:paraId="15F1DDC1" w14:textId="430F36A9" w:rsidR="00DD473F" w:rsidRPr="00E22B2F" w:rsidRDefault="00DD473F" w:rsidP="00DD473F">
      <w:pPr>
        <w:rPr>
          <w:rFonts w:cstheme="minorHAnsi"/>
        </w:rPr>
      </w:pPr>
      <w:r w:rsidRPr="00E22B2F">
        <w:rPr>
          <w:rFonts w:cstheme="minorHAnsi"/>
        </w:rPr>
        <w:lastRenderedPageBreak/>
        <w:t xml:space="preserve">Our earnings forecast for M/I Homes is based on numerous drivers such as revenue growth year over year, mortgage loans held for sale as </w:t>
      </w:r>
      <w:r w:rsidR="00287207" w:rsidRPr="00E22B2F">
        <w:rPr>
          <w:rFonts w:cstheme="minorHAnsi"/>
        </w:rPr>
        <w:t xml:space="preserve">a </w:t>
      </w:r>
      <w:r w:rsidRPr="00E22B2F">
        <w:rPr>
          <w:rFonts w:cstheme="minorHAnsi"/>
        </w:rPr>
        <w:t>percentage of sales, etc. (see our earnings forecast to review all drivers used).</w:t>
      </w:r>
      <w:r w:rsidR="00D56088" w:rsidRPr="00E22B2F">
        <w:rPr>
          <w:rFonts w:cstheme="minorHAnsi"/>
        </w:rPr>
        <w:t xml:space="preserve"> Some of these drivers are basic but some are industry specific.</w:t>
      </w:r>
      <w:r w:rsidRPr="00E22B2F">
        <w:rPr>
          <w:rFonts w:cstheme="minorHAnsi"/>
        </w:rPr>
        <w:t xml:space="preserve"> Our earnings forecast uses data from as far back as Q1 2016 and forecasts all the way out to Q3 2021. Almost all line entries are based on the drivers mentioned above, which are based on historical averages and regression analysis. </w:t>
      </w:r>
    </w:p>
    <w:p w14:paraId="3B120B73" w14:textId="71E827D7" w:rsidR="009C2155" w:rsidRPr="00E22B2F" w:rsidRDefault="009C2155" w:rsidP="00342C64">
      <w:pPr>
        <w:rPr>
          <w:rFonts w:cstheme="minorHAnsi"/>
        </w:rPr>
      </w:pPr>
    </w:p>
    <w:p w14:paraId="1EEE20C1" w14:textId="724D5ECF" w:rsidR="007A40FC" w:rsidRPr="00E22B2F" w:rsidRDefault="007A40FC" w:rsidP="00342C64">
      <w:pPr>
        <w:rPr>
          <w:rFonts w:cstheme="minorHAnsi"/>
          <w:b/>
          <w:bCs/>
        </w:rPr>
      </w:pPr>
      <w:r w:rsidRPr="00E22B2F">
        <w:rPr>
          <w:rFonts w:cstheme="minorHAnsi"/>
          <w:b/>
          <w:bCs/>
        </w:rPr>
        <w:t>Valuation</w:t>
      </w:r>
    </w:p>
    <w:p w14:paraId="1D3B2735" w14:textId="6F37979C" w:rsidR="00DE6BF5" w:rsidRPr="00E22B2F" w:rsidRDefault="00D752EB" w:rsidP="00342C64">
      <w:pPr>
        <w:rPr>
          <w:rFonts w:cstheme="minorHAnsi"/>
          <w:b/>
          <w:bCs/>
        </w:rPr>
      </w:pPr>
      <w:r w:rsidRPr="00E22B2F">
        <w:rPr>
          <w:rFonts w:cstheme="minorHAnsi"/>
          <w:noProof/>
        </w:rPr>
        <w:drawing>
          <wp:inline distT="0" distB="0" distL="0" distR="0" wp14:anchorId="122386F6" wp14:editId="3FEB0AA0">
            <wp:extent cx="6274420" cy="89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157" cy="913321"/>
                    </a:xfrm>
                    <a:prstGeom prst="rect">
                      <a:avLst/>
                    </a:prstGeom>
                    <a:noFill/>
                    <a:ln>
                      <a:noFill/>
                    </a:ln>
                  </pic:spPr>
                </pic:pic>
              </a:graphicData>
            </a:graphic>
          </wp:inline>
        </w:drawing>
      </w:r>
    </w:p>
    <w:p w14:paraId="24966DCB" w14:textId="394C8961" w:rsidR="00DE6BF5" w:rsidRPr="00E22B2F" w:rsidRDefault="00071C96" w:rsidP="00342C64">
      <w:pPr>
        <w:rPr>
          <w:rFonts w:cstheme="minorHAnsi"/>
          <w:b/>
          <w:bCs/>
        </w:rPr>
      </w:pPr>
      <w:r w:rsidRPr="00E22B2F">
        <w:rPr>
          <w:rFonts w:cstheme="minorHAnsi"/>
          <w:noProof/>
        </w:rPr>
        <w:drawing>
          <wp:inline distT="0" distB="0" distL="0" distR="0" wp14:anchorId="5638B49F" wp14:editId="3C4431D5">
            <wp:extent cx="6280524" cy="2438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927" cy="2442439"/>
                    </a:xfrm>
                    <a:prstGeom prst="rect">
                      <a:avLst/>
                    </a:prstGeom>
                    <a:noFill/>
                    <a:ln>
                      <a:noFill/>
                    </a:ln>
                  </pic:spPr>
                </pic:pic>
              </a:graphicData>
            </a:graphic>
          </wp:inline>
        </w:drawing>
      </w:r>
    </w:p>
    <w:p w14:paraId="4620A66F" w14:textId="4851E6FE" w:rsidR="00B53DE9" w:rsidRPr="00E22B2F" w:rsidRDefault="00B53DE9" w:rsidP="00342C64">
      <w:pPr>
        <w:rPr>
          <w:rFonts w:cstheme="minorHAnsi"/>
        </w:rPr>
      </w:pPr>
    </w:p>
    <w:p w14:paraId="6E49CA49" w14:textId="163DEE2E" w:rsidR="00B53DE9" w:rsidRPr="00E22B2F" w:rsidRDefault="00B53DE9" w:rsidP="1226730E">
      <w:pPr>
        <w:rPr>
          <w:rFonts w:cstheme="minorHAnsi"/>
        </w:rPr>
      </w:pPr>
      <w:r w:rsidRPr="00E22B2F">
        <w:rPr>
          <w:rFonts w:cstheme="minorHAnsi"/>
        </w:rPr>
        <w:t xml:space="preserve">A standard </w:t>
      </w:r>
      <w:r w:rsidR="008036B6" w:rsidRPr="00E22B2F">
        <w:rPr>
          <w:rFonts w:cstheme="minorHAnsi"/>
        </w:rPr>
        <w:t>long-term</w:t>
      </w:r>
      <w:r w:rsidRPr="00E22B2F">
        <w:rPr>
          <w:rFonts w:cstheme="minorHAnsi"/>
        </w:rPr>
        <w:t xml:space="preserve"> growth rate of 3.50% is use</w:t>
      </w:r>
      <w:r w:rsidR="00483948" w:rsidRPr="00E22B2F">
        <w:rPr>
          <w:rFonts w:cstheme="minorHAnsi"/>
        </w:rPr>
        <w:t>d, while the short-term growth rate comes from historical trends (averages) year over year.</w:t>
      </w:r>
      <w:r w:rsidR="00E54198" w:rsidRPr="00E22B2F">
        <w:rPr>
          <w:rFonts w:cstheme="minorHAnsi"/>
        </w:rPr>
        <w:t xml:space="preserve"> The short-term growth rate we calculated was 15.28%. The cost of equity we calculated was 13.81%. </w:t>
      </w:r>
      <w:r w:rsidR="5A8523FD" w:rsidRPr="00E22B2F">
        <w:rPr>
          <w:rFonts w:cstheme="minorHAnsi"/>
        </w:rPr>
        <w:t xml:space="preserve">The Cost of equity is dependent on the long-term growth rate and the firm forward P/E ratio. </w:t>
      </w:r>
      <w:r w:rsidR="72D1D885" w:rsidRPr="00E22B2F">
        <w:rPr>
          <w:rFonts w:cstheme="minorHAnsi"/>
        </w:rPr>
        <w:t xml:space="preserve">Additionally, the Q3 Earnings Call revealed that management </w:t>
      </w:r>
      <w:r w:rsidR="5A8523FD" w:rsidRPr="00E22B2F">
        <w:rPr>
          <w:rFonts w:cstheme="minorHAnsi"/>
        </w:rPr>
        <w:t xml:space="preserve">did not </w:t>
      </w:r>
      <w:r w:rsidR="5059DFEF" w:rsidRPr="00E22B2F">
        <w:rPr>
          <w:rFonts w:cstheme="minorHAnsi"/>
        </w:rPr>
        <w:t>plan</w:t>
      </w:r>
      <w:r w:rsidR="5A8523FD" w:rsidRPr="00E22B2F">
        <w:rPr>
          <w:rFonts w:cstheme="minorHAnsi"/>
        </w:rPr>
        <w:t xml:space="preserve"> </w:t>
      </w:r>
      <w:r w:rsidR="5059DFEF" w:rsidRPr="00E22B2F">
        <w:rPr>
          <w:rFonts w:cstheme="minorHAnsi"/>
        </w:rPr>
        <w:t xml:space="preserve">to aggressively service existing debt. Although the cost of equity </w:t>
      </w:r>
      <w:r w:rsidR="024701D1" w:rsidRPr="00E22B2F">
        <w:rPr>
          <w:rFonts w:cstheme="minorHAnsi"/>
        </w:rPr>
        <w:t>may seem relatively high, we believe these factors and forward P/E ratios among comparable firms justifies this decision.</w:t>
      </w:r>
      <w:r w:rsidR="0D8EC891" w:rsidRPr="00E22B2F">
        <w:rPr>
          <w:rFonts w:cstheme="minorHAnsi"/>
        </w:rPr>
        <w:t xml:space="preserve"> </w:t>
      </w:r>
      <w:r w:rsidR="5059DFEF" w:rsidRPr="00E22B2F">
        <w:rPr>
          <w:rFonts w:cstheme="minorHAnsi"/>
        </w:rPr>
        <w:t>The sector forward P/E ratio was pulled from Yardeni Research’s November 11</w:t>
      </w:r>
      <w:r w:rsidR="5059DFEF" w:rsidRPr="00E22B2F">
        <w:rPr>
          <w:rFonts w:cstheme="minorHAnsi"/>
          <w:vertAlign w:val="superscript"/>
        </w:rPr>
        <w:t>th</w:t>
      </w:r>
      <w:r w:rsidR="03006FB0" w:rsidRPr="00E22B2F">
        <w:rPr>
          <w:rFonts w:cstheme="minorHAnsi"/>
        </w:rPr>
        <w:t xml:space="preserve">, 2020 </w:t>
      </w:r>
      <w:r w:rsidR="5059DFEF" w:rsidRPr="00E22B2F">
        <w:rPr>
          <w:rFonts w:cstheme="minorHAnsi"/>
        </w:rPr>
        <w:t>report.</w:t>
      </w:r>
    </w:p>
    <w:p w14:paraId="4D1841FC" w14:textId="556CD1BD" w:rsidR="1226730E" w:rsidRPr="00E22B2F" w:rsidRDefault="1226730E" w:rsidP="1226730E">
      <w:pPr>
        <w:rPr>
          <w:rFonts w:cstheme="minorHAnsi"/>
        </w:rPr>
      </w:pPr>
    </w:p>
    <w:p w14:paraId="6867FDEB" w14:textId="77777777" w:rsidR="00C6558F" w:rsidRPr="00E22B2F" w:rsidRDefault="00C6558F">
      <w:pPr>
        <w:rPr>
          <w:rFonts w:cstheme="minorHAnsi"/>
          <w:b/>
          <w:bCs/>
        </w:rPr>
      </w:pPr>
      <w:r w:rsidRPr="00E22B2F">
        <w:rPr>
          <w:rFonts w:cstheme="minorHAnsi"/>
          <w:b/>
          <w:bCs/>
        </w:rPr>
        <w:br w:type="page"/>
      </w:r>
    </w:p>
    <w:p w14:paraId="07B90DD9" w14:textId="419E13BC" w:rsidR="00F24823" w:rsidRPr="00E22B2F" w:rsidRDefault="00F24823" w:rsidP="00342C64">
      <w:pPr>
        <w:rPr>
          <w:rFonts w:cstheme="minorHAnsi"/>
          <w:b/>
          <w:bCs/>
        </w:rPr>
      </w:pPr>
      <w:r w:rsidRPr="00E22B2F">
        <w:rPr>
          <w:rFonts w:cstheme="minorHAnsi"/>
          <w:b/>
          <w:bCs/>
        </w:rPr>
        <w:lastRenderedPageBreak/>
        <w:t>Sensitivity Analysis</w:t>
      </w:r>
    </w:p>
    <w:p w14:paraId="22CB632B" w14:textId="2FCC7393" w:rsidR="00F24823" w:rsidRPr="00E22B2F" w:rsidRDefault="00F24823" w:rsidP="00342C64">
      <w:pPr>
        <w:rPr>
          <w:rFonts w:cstheme="minorHAnsi"/>
        </w:rPr>
      </w:pPr>
      <w:r w:rsidRPr="00E22B2F">
        <w:rPr>
          <w:rFonts w:cstheme="minorHAnsi"/>
        </w:rPr>
        <w:t>While we have an idea of what the most likely equity value, and subsequently, the equity value per share is, we have also sketched out other equity value, and the probabilities of these values.</w:t>
      </w:r>
      <w:r w:rsidR="004A1F5E" w:rsidRPr="00E22B2F">
        <w:rPr>
          <w:rFonts w:cstheme="minorHAnsi"/>
        </w:rPr>
        <w:t xml:space="preserve"> The equity value per share that we believe is the most likely is $34.02.</w:t>
      </w:r>
    </w:p>
    <w:p w14:paraId="7FEF134F" w14:textId="3A5A54B5" w:rsidR="00F24823" w:rsidRPr="00E22B2F" w:rsidRDefault="00FB502B" w:rsidP="00342C64">
      <w:pPr>
        <w:rPr>
          <w:rFonts w:cstheme="minorHAnsi"/>
        </w:rPr>
      </w:pPr>
      <w:r w:rsidRPr="00E22B2F">
        <w:rPr>
          <w:rFonts w:cstheme="minorHAnsi"/>
          <w:noProof/>
        </w:rPr>
        <w:drawing>
          <wp:inline distT="0" distB="0" distL="0" distR="0" wp14:anchorId="406D7E99" wp14:editId="0236E956">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p>
    <w:p w14:paraId="6A195E3E" w14:textId="724F8CEB" w:rsidR="004A1F5E" w:rsidRPr="00E22B2F" w:rsidRDefault="004A1F5E" w:rsidP="00342C64">
      <w:pPr>
        <w:rPr>
          <w:rFonts w:cstheme="minorHAnsi"/>
          <w:b/>
          <w:bCs/>
        </w:rPr>
      </w:pPr>
      <w:r w:rsidRPr="00E22B2F">
        <w:rPr>
          <w:rFonts w:cstheme="minorHAnsi"/>
          <w:b/>
          <w:bCs/>
        </w:rPr>
        <w:t>Conclusion</w:t>
      </w:r>
    </w:p>
    <w:p w14:paraId="70DDF560" w14:textId="1D023E79" w:rsidR="004A1F5E" w:rsidRPr="00E22B2F" w:rsidRDefault="004A1F5E" w:rsidP="00342C64">
      <w:pPr>
        <w:rPr>
          <w:rFonts w:cstheme="minorHAnsi"/>
        </w:rPr>
      </w:pPr>
      <w:r w:rsidRPr="00E22B2F">
        <w:rPr>
          <w:rFonts w:cstheme="minorHAnsi"/>
        </w:rPr>
        <w:t>Based on the analysis provided above, we recommend selling our position in M/I Homes. Based on our analysis and calculations, we believe that M/I Homes shares are overvalued by around 23%, with a value of $34.02.</w:t>
      </w:r>
    </w:p>
    <w:p w14:paraId="15928233" w14:textId="77777777" w:rsidR="000A20B8" w:rsidRPr="00E22B2F" w:rsidRDefault="000A20B8" w:rsidP="00342C64">
      <w:pPr>
        <w:rPr>
          <w:rFonts w:cstheme="minorHAnsi"/>
          <w:b/>
          <w:bCs/>
        </w:rPr>
      </w:pPr>
    </w:p>
    <w:p w14:paraId="7A2376B4" w14:textId="034B10A9" w:rsidR="000A20B8" w:rsidRPr="00E22B2F" w:rsidRDefault="00C6558F" w:rsidP="00342C64">
      <w:pPr>
        <w:rPr>
          <w:rFonts w:cstheme="minorHAnsi"/>
        </w:rPr>
      </w:pPr>
      <w:r w:rsidRPr="00E22B2F">
        <w:rPr>
          <w:rFonts w:cstheme="minorHAnsi"/>
          <w:noProof/>
        </w:rPr>
        <w:drawing>
          <wp:inline distT="0" distB="0" distL="0" distR="0" wp14:anchorId="4E6183FA" wp14:editId="2BD49214">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14:paraId="26CA8005" w14:textId="08D4FC5D" w:rsidR="00482092" w:rsidRPr="00E22B2F" w:rsidRDefault="00C6558F" w:rsidP="00E46915">
      <w:pPr>
        <w:rPr>
          <w:rFonts w:cstheme="minorHAnsi"/>
        </w:rPr>
      </w:pPr>
      <w:r w:rsidRPr="00E22B2F">
        <w:rPr>
          <w:rFonts w:cstheme="minorHAnsi"/>
        </w:rPr>
        <w:br w:type="page"/>
      </w:r>
    </w:p>
    <w:p w14:paraId="050C326F" w14:textId="647EFF2F" w:rsidR="00482092" w:rsidRPr="00E22B2F" w:rsidRDefault="00482092" w:rsidP="00482092">
      <w:pPr>
        <w:jc w:val="center"/>
        <w:rPr>
          <w:rFonts w:cstheme="minorHAnsi"/>
        </w:rPr>
      </w:pPr>
      <w:r w:rsidRPr="00E22B2F">
        <w:rPr>
          <w:rFonts w:cstheme="minorHAnsi"/>
          <w:noProof/>
        </w:rPr>
        <w:lastRenderedPageBreak/>
        <w:drawing>
          <wp:inline distT="0" distB="0" distL="0" distR="0" wp14:anchorId="4A9C734A" wp14:editId="33482472">
            <wp:extent cx="1857375" cy="1857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34F817C4" w14:textId="789BE0F5" w:rsidR="00482092" w:rsidRPr="00E22B2F" w:rsidRDefault="00482092" w:rsidP="00482092">
      <w:pPr>
        <w:tabs>
          <w:tab w:val="right" w:pos="9348"/>
        </w:tabs>
        <w:spacing w:after="4" w:line="266" w:lineRule="auto"/>
        <w:rPr>
          <w:rFonts w:eastAsia="Times New Roman" w:cstheme="minorHAnsi"/>
          <w:color w:val="000000"/>
        </w:rPr>
      </w:pPr>
      <w:r w:rsidRPr="00E22B2F">
        <w:rPr>
          <w:rFonts w:eastAsia="Times New Roman" w:cstheme="minorHAnsi"/>
          <w:color w:val="000000"/>
        </w:rPr>
        <w:t>Date: November 10, 2020</w:t>
      </w:r>
      <w:r w:rsidRPr="00E22B2F">
        <w:rPr>
          <w:rFonts w:eastAsia="Times New Roman" w:cstheme="minorHAnsi"/>
          <w:color w:val="000000"/>
        </w:rPr>
        <w:tab/>
        <w:t xml:space="preserve">Forward P/E: </w:t>
      </w:r>
      <w:r w:rsidR="00EC0C0B" w:rsidRPr="00EC0C0B">
        <w:rPr>
          <w:rFonts w:eastAsia="Times New Roman" w:cstheme="minorHAnsi"/>
          <w:color w:val="000000"/>
        </w:rPr>
        <w:t>11.1</w:t>
      </w:r>
      <w:r w:rsidR="00EC0C0B">
        <w:rPr>
          <w:rFonts w:eastAsia="Times New Roman" w:cstheme="minorHAnsi"/>
          <w:color w:val="000000"/>
        </w:rPr>
        <w:t>9</w:t>
      </w:r>
    </w:p>
    <w:p w14:paraId="2CB48EF3" w14:textId="3EEC6413" w:rsidR="00482092" w:rsidRPr="00E22B2F" w:rsidRDefault="00482092" w:rsidP="00482092">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Company Ticker:</w:t>
      </w:r>
      <w:r w:rsidR="003C7886" w:rsidRPr="00E22B2F">
        <w:rPr>
          <w:rFonts w:eastAsia="Times New Roman" w:cstheme="minorHAnsi"/>
          <w:color w:val="000000"/>
        </w:rPr>
        <w:t xml:space="preserve"> AAN</w:t>
      </w:r>
      <w:r w:rsidRPr="00E22B2F">
        <w:rPr>
          <w:rFonts w:eastAsia="Times New Roman" w:cstheme="minorHAnsi"/>
          <w:color w:val="000000"/>
        </w:rPr>
        <w:tab/>
        <w:t>Sector Forward P/E: 9.</w:t>
      </w:r>
      <w:r w:rsidR="00E54198" w:rsidRPr="00E22B2F">
        <w:rPr>
          <w:rFonts w:eastAsia="Times New Roman" w:cstheme="minorHAnsi"/>
          <w:color w:val="000000"/>
        </w:rPr>
        <w:t>70</w:t>
      </w:r>
    </w:p>
    <w:p w14:paraId="25DCC477" w14:textId="50007B04" w:rsidR="00482092" w:rsidRPr="00E22B2F" w:rsidRDefault="00482092" w:rsidP="00482092">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Sector: Consumer Discretionary</w:t>
      </w:r>
      <w:r w:rsidRPr="00E22B2F">
        <w:rPr>
          <w:rFonts w:eastAsia="Times New Roman" w:cstheme="minorHAnsi"/>
          <w:color w:val="000000"/>
        </w:rPr>
        <w:tab/>
        <w:t xml:space="preserve">Market Price: </w:t>
      </w:r>
      <w:r w:rsidR="006004CA" w:rsidRPr="006004CA">
        <w:rPr>
          <w:rFonts w:eastAsia="Times New Roman" w:cstheme="minorHAnsi"/>
          <w:color w:val="000000"/>
        </w:rPr>
        <w:t>$60.60</w:t>
      </w:r>
    </w:p>
    <w:p w14:paraId="2169C7F3" w14:textId="293399B4" w:rsidR="00482092" w:rsidRPr="00E22B2F" w:rsidRDefault="00482092" w:rsidP="00482092">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Industry: Household Durables</w:t>
      </w:r>
      <w:r w:rsidRPr="00E22B2F">
        <w:rPr>
          <w:rFonts w:eastAsia="Times New Roman" w:cstheme="minorHAnsi"/>
          <w:color w:val="000000"/>
        </w:rPr>
        <w:tab/>
        <w:t>Forecasted Price: $</w:t>
      </w:r>
      <w:r w:rsidR="006004CA">
        <w:rPr>
          <w:rFonts w:eastAsia="Times New Roman" w:cstheme="minorHAnsi"/>
          <w:color w:val="000000"/>
        </w:rPr>
        <w:t>29.77</w:t>
      </w:r>
    </w:p>
    <w:p w14:paraId="489C7317" w14:textId="10F3C5BC" w:rsidR="00482092" w:rsidRPr="00E22B2F" w:rsidRDefault="00482092" w:rsidP="00482092">
      <w:pPr>
        <w:jc w:val="center"/>
        <w:rPr>
          <w:rFonts w:cstheme="minorHAnsi"/>
          <w:b/>
          <w:bCs/>
        </w:rPr>
      </w:pPr>
      <w:r w:rsidRPr="00E22B2F">
        <w:rPr>
          <w:rFonts w:cstheme="minorHAnsi"/>
          <w:b/>
          <w:bCs/>
        </w:rPr>
        <w:t>Recommendation: Sell</w:t>
      </w:r>
    </w:p>
    <w:p w14:paraId="30C27327" w14:textId="7A527E55" w:rsidR="004947E4" w:rsidRPr="00E22B2F" w:rsidRDefault="004947E4" w:rsidP="00482092">
      <w:pPr>
        <w:rPr>
          <w:rFonts w:cstheme="minorHAnsi"/>
          <w:b/>
          <w:bCs/>
        </w:rPr>
      </w:pPr>
      <w:r w:rsidRPr="00E22B2F">
        <w:rPr>
          <w:rFonts w:cstheme="minorHAnsi"/>
          <w:b/>
          <w:bCs/>
        </w:rPr>
        <w:t>Company Summary</w:t>
      </w:r>
    </w:p>
    <w:p w14:paraId="49C572E5" w14:textId="5C04E258" w:rsidR="004947E4" w:rsidRPr="00E22B2F" w:rsidRDefault="004947E4" w:rsidP="00482092">
      <w:pPr>
        <w:rPr>
          <w:rFonts w:cstheme="minorHAnsi"/>
        </w:rPr>
      </w:pPr>
      <w:r w:rsidRPr="00E22B2F">
        <w:rPr>
          <w:rFonts w:cstheme="minorHAnsi"/>
        </w:rPr>
        <w:t>Aaron’s is a lease-to-own service provider of furniture, consumer electronics, computers, home appliances</w:t>
      </w:r>
      <w:r w:rsidR="006004CA">
        <w:rPr>
          <w:rFonts w:cstheme="minorHAnsi"/>
        </w:rPr>
        <w:t>,</w:t>
      </w:r>
      <w:r w:rsidRPr="00E22B2F">
        <w:rPr>
          <w:rFonts w:cstheme="minorHAnsi"/>
        </w:rPr>
        <w:t xml:space="preserve"> and accessories. They operate in three </w:t>
      </w:r>
      <w:r w:rsidR="00FC6350" w:rsidRPr="00E22B2F">
        <w:rPr>
          <w:rFonts w:cstheme="minorHAnsi"/>
        </w:rPr>
        <w:t>core business</w:t>
      </w:r>
      <w:r w:rsidRPr="00E22B2F">
        <w:rPr>
          <w:rFonts w:cstheme="minorHAnsi"/>
        </w:rPr>
        <w:t xml:space="preserve"> segments: Aaron’s business, Progressive Leasing, and Vive. Aaron’s business refer</w:t>
      </w:r>
      <w:r w:rsidR="006004CA">
        <w:rPr>
          <w:rFonts w:cstheme="minorHAnsi"/>
        </w:rPr>
        <w:t>s</w:t>
      </w:r>
      <w:r w:rsidRPr="00E22B2F">
        <w:rPr>
          <w:rFonts w:cstheme="minorHAnsi"/>
        </w:rPr>
        <w:t xml:space="preserve"> to their brick and mortar stores and e-commerce. Progressive Leasing is a virtual lease-to-own company that provides lease-purchase solutions. Vive offers customized programs along with services including revolving loans through private label cards</w:t>
      </w:r>
      <w:r w:rsidR="003B1E30" w:rsidRPr="00E22B2F">
        <w:rPr>
          <w:rFonts w:cstheme="minorHAnsi"/>
        </w:rPr>
        <w:t>.</w:t>
      </w:r>
    </w:p>
    <w:p w14:paraId="5378E41C" w14:textId="20418EA2" w:rsidR="003B1E30" w:rsidRPr="00E22B2F" w:rsidRDefault="003B1E30" w:rsidP="00482092">
      <w:pPr>
        <w:rPr>
          <w:rFonts w:cstheme="minorHAnsi"/>
        </w:rPr>
      </w:pPr>
      <w:r w:rsidRPr="00E22B2F">
        <w:rPr>
          <w:rFonts w:cstheme="minorHAnsi"/>
          <w:b/>
          <w:bCs/>
        </w:rPr>
        <w:t>Industry Outlook</w:t>
      </w:r>
    </w:p>
    <w:p w14:paraId="0E099A85" w14:textId="4A2EAE32" w:rsidR="003B1E30" w:rsidRPr="00E22B2F" w:rsidRDefault="003B1E30" w:rsidP="00482092">
      <w:pPr>
        <w:rPr>
          <w:rFonts w:cstheme="minorHAnsi"/>
        </w:rPr>
      </w:pPr>
      <w:r w:rsidRPr="00E22B2F">
        <w:rPr>
          <w:rFonts w:cstheme="minorHAnsi"/>
        </w:rPr>
        <w:t xml:space="preserve">Aaron’s </w:t>
      </w:r>
      <w:r w:rsidR="7E7F4D81" w:rsidRPr="00E22B2F">
        <w:rPr>
          <w:rFonts w:cstheme="minorHAnsi"/>
        </w:rPr>
        <w:t>operat</w:t>
      </w:r>
      <w:r w:rsidRPr="00E22B2F">
        <w:rPr>
          <w:rFonts w:cstheme="minorHAnsi"/>
        </w:rPr>
        <w:t>es</w:t>
      </w:r>
      <w:r w:rsidR="38F63326" w:rsidRPr="00E22B2F">
        <w:rPr>
          <w:rFonts w:cstheme="minorHAnsi"/>
        </w:rPr>
        <w:t xml:space="preserve"> primarily </w:t>
      </w:r>
      <w:r w:rsidR="00FC6350" w:rsidRPr="00E22B2F">
        <w:rPr>
          <w:rFonts w:cstheme="minorHAnsi"/>
        </w:rPr>
        <w:t>in-home</w:t>
      </w:r>
      <w:r w:rsidRPr="00E22B2F">
        <w:rPr>
          <w:rFonts w:cstheme="minorHAnsi"/>
        </w:rPr>
        <w:t xml:space="preserve"> furniture rental</w:t>
      </w:r>
      <w:r w:rsidR="20DDBA78" w:rsidRPr="00E22B2F">
        <w:rPr>
          <w:rFonts w:cstheme="minorHAnsi"/>
        </w:rPr>
        <w:t xml:space="preserve">, </w:t>
      </w:r>
      <w:r w:rsidRPr="00E22B2F">
        <w:rPr>
          <w:rFonts w:cstheme="minorHAnsi"/>
        </w:rPr>
        <w:t>consumer electronics</w:t>
      </w:r>
      <w:r w:rsidR="006004CA">
        <w:rPr>
          <w:rFonts w:cstheme="minorHAnsi"/>
        </w:rPr>
        <w:t>,</w:t>
      </w:r>
      <w:r w:rsidRPr="00E22B2F">
        <w:rPr>
          <w:rFonts w:cstheme="minorHAnsi"/>
        </w:rPr>
        <w:t xml:space="preserve"> </w:t>
      </w:r>
      <w:r w:rsidR="119147B8" w:rsidRPr="00E22B2F">
        <w:rPr>
          <w:rFonts w:cstheme="minorHAnsi"/>
        </w:rPr>
        <w:t>and</w:t>
      </w:r>
      <w:r w:rsidRPr="00E22B2F">
        <w:rPr>
          <w:rFonts w:cstheme="minorHAnsi"/>
        </w:rPr>
        <w:t xml:space="preserve"> </w:t>
      </w:r>
      <w:r w:rsidR="66D2444A" w:rsidRPr="00E22B2F">
        <w:rPr>
          <w:rFonts w:cstheme="minorHAnsi"/>
        </w:rPr>
        <w:t xml:space="preserve">household </w:t>
      </w:r>
      <w:r w:rsidRPr="00E22B2F">
        <w:rPr>
          <w:rFonts w:cstheme="minorHAnsi"/>
        </w:rPr>
        <w:t>appliance rental</w:t>
      </w:r>
      <w:r w:rsidR="00F11629" w:rsidRPr="00E22B2F">
        <w:rPr>
          <w:rFonts w:cstheme="minorHAnsi"/>
        </w:rPr>
        <w:t xml:space="preserve">. The home furniture rental industry is in decline, while the consumer electronics </w:t>
      </w:r>
      <w:r w:rsidR="022C8002" w:rsidRPr="00E22B2F">
        <w:rPr>
          <w:rFonts w:cstheme="minorHAnsi"/>
        </w:rPr>
        <w:t>and</w:t>
      </w:r>
      <w:r w:rsidR="00F11629" w:rsidRPr="00E22B2F">
        <w:rPr>
          <w:rFonts w:cstheme="minorHAnsi"/>
        </w:rPr>
        <w:t xml:space="preserve"> appliances rental industry is growing. This can be attributed </w:t>
      </w:r>
      <w:r w:rsidR="7A10E7E6" w:rsidRPr="00E22B2F">
        <w:rPr>
          <w:rFonts w:cstheme="minorHAnsi"/>
        </w:rPr>
        <w:t xml:space="preserve">to </w:t>
      </w:r>
      <w:r w:rsidR="2E333B8A" w:rsidRPr="00E22B2F">
        <w:rPr>
          <w:rFonts w:cstheme="minorHAnsi"/>
        </w:rPr>
        <w:t xml:space="preserve">a favorable shift in </w:t>
      </w:r>
      <w:r w:rsidR="780CA4A4" w:rsidRPr="00E22B2F">
        <w:rPr>
          <w:rFonts w:cstheme="minorHAnsi"/>
        </w:rPr>
        <w:t xml:space="preserve">buyer </w:t>
      </w:r>
      <w:r w:rsidR="2E333B8A" w:rsidRPr="00E22B2F">
        <w:rPr>
          <w:rFonts w:cstheme="minorHAnsi"/>
        </w:rPr>
        <w:t>preference</w:t>
      </w:r>
      <w:r w:rsidR="1457DEEA" w:rsidRPr="00E22B2F">
        <w:rPr>
          <w:rFonts w:cstheme="minorHAnsi"/>
        </w:rPr>
        <w:t xml:space="preserve"> </w:t>
      </w:r>
      <w:r w:rsidR="40D16533" w:rsidRPr="00E22B2F">
        <w:rPr>
          <w:rFonts w:cstheme="minorHAnsi"/>
        </w:rPr>
        <w:t xml:space="preserve">towards lease-to-own transactions, the </w:t>
      </w:r>
      <w:r w:rsidR="1457DEEA" w:rsidRPr="00E22B2F">
        <w:rPr>
          <w:rFonts w:cstheme="minorHAnsi"/>
        </w:rPr>
        <w:t xml:space="preserve">gradual reopening of franchise stores </w:t>
      </w:r>
      <w:r w:rsidR="749D4C4E" w:rsidRPr="00E22B2F">
        <w:rPr>
          <w:rFonts w:cstheme="minorHAnsi"/>
        </w:rPr>
        <w:t xml:space="preserve">nationwide, and technological advancements in the </w:t>
      </w:r>
      <w:r w:rsidR="7DC148AD" w:rsidRPr="00E22B2F">
        <w:rPr>
          <w:rFonts w:cstheme="minorHAnsi"/>
        </w:rPr>
        <w:t xml:space="preserve">portfolio of </w:t>
      </w:r>
      <w:r w:rsidR="749D4C4E" w:rsidRPr="00E22B2F">
        <w:rPr>
          <w:rFonts w:cstheme="minorHAnsi"/>
        </w:rPr>
        <w:t xml:space="preserve">products </w:t>
      </w:r>
      <w:r w:rsidR="1AC215E4" w:rsidRPr="00E22B2F">
        <w:rPr>
          <w:rFonts w:cstheme="minorHAnsi"/>
        </w:rPr>
        <w:t xml:space="preserve">Aaron’s </w:t>
      </w:r>
      <w:r w:rsidR="7B03E2B2" w:rsidRPr="00E22B2F">
        <w:rPr>
          <w:rFonts w:cstheme="minorHAnsi"/>
        </w:rPr>
        <w:t>carries.</w:t>
      </w:r>
      <w:r w:rsidR="00F11629" w:rsidRPr="00E22B2F">
        <w:rPr>
          <w:rFonts w:cstheme="minorHAnsi"/>
        </w:rPr>
        <w:t xml:space="preserve"> One thing to </w:t>
      </w:r>
      <w:r w:rsidR="008F3CA6" w:rsidRPr="00E22B2F">
        <w:rPr>
          <w:rFonts w:cstheme="minorHAnsi"/>
        </w:rPr>
        <w:t>observe</w:t>
      </w:r>
      <w:r w:rsidR="00F11629" w:rsidRPr="00E22B2F">
        <w:rPr>
          <w:rFonts w:cstheme="minorHAnsi"/>
        </w:rPr>
        <w:t xml:space="preserve"> for Aaron’s and similar companies is the creditworthiness of consumers. If an increasing </w:t>
      </w:r>
      <w:r w:rsidR="008F3CA6" w:rsidRPr="00E22B2F">
        <w:rPr>
          <w:rFonts w:cstheme="minorHAnsi"/>
        </w:rPr>
        <w:t>number</w:t>
      </w:r>
      <w:r w:rsidR="00F11629" w:rsidRPr="00E22B2F">
        <w:rPr>
          <w:rFonts w:cstheme="minorHAnsi"/>
        </w:rPr>
        <w:t xml:space="preserve"> of consumers have subprime credit, businesses like Aaron’s will likely see increased sales.</w:t>
      </w:r>
      <w:r w:rsidR="587FCFDC" w:rsidRPr="00E22B2F">
        <w:rPr>
          <w:rFonts w:cstheme="minorHAnsi"/>
        </w:rPr>
        <w:t xml:space="preserve"> However, </w:t>
      </w:r>
      <w:r w:rsidR="31EFDE33" w:rsidRPr="00E22B2F">
        <w:rPr>
          <w:rFonts w:cstheme="minorHAnsi"/>
        </w:rPr>
        <w:t xml:space="preserve">the previous </w:t>
      </w:r>
      <w:r w:rsidR="2BFF40D7" w:rsidRPr="00E22B2F">
        <w:rPr>
          <w:rFonts w:cstheme="minorHAnsi"/>
        </w:rPr>
        <w:t xml:space="preserve">yearly </w:t>
      </w:r>
      <w:r w:rsidR="7ED5B851" w:rsidRPr="00E22B2F">
        <w:rPr>
          <w:rFonts w:cstheme="minorHAnsi"/>
        </w:rPr>
        <w:t xml:space="preserve">and </w:t>
      </w:r>
      <w:r w:rsidR="30EEAA4D" w:rsidRPr="00E22B2F">
        <w:rPr>
          <w:rFonts w:cstheme="minorHAnsi"/>
        </w:rPr>
        <w:t xml:space="preserve">projected </w:t>
      </w:r>
      <w:r w:rsidR="7ED5B851" w:rsidRPr="00E22B2F">
        <w:rPr>
          <w:rFonts w:cstheme="minorHAnsi"/>
        </w:rPr>
        <w:t xml:space="preserve">declines </w:t>
      </w:r>
      <w:r w:rsidR="587FCFDC" w:rsidRPr="00E22B2F">
        <w:rPr>
          <w:rFonts w:cstheme="minorHAnsi"/>
        </w:rPr>
        <w:t xml:space="preserve">in non-retail sales </w:t>
      </w:r>
      <w:r w:rsidR="1FC47F4B" w:rsidRPr="00E22B2F">
        <w:rPr>
          <w:rFonts w:cstheme="minorHAnsi"/>
        </w:rPr>
        <w:t>significantly hurt Aaron’s growth potential.</w:t>
      </w:r>
      <w:r w:rsidR="70374ECE" w:rsidRPr="00E22B2F">
        <w:rPr>
          <w:rFonts w:cstheme="minorHAnsi"/>
        </w:rPr>
        <w:t xml:space="preserve"> We believe the market in which Aaron’s e-commerce platform operates is saturated</w:t>
      </w:r>
      <w:r w:rsidR="79A246DE" w:rsidRPr="00E22B2F">
        <w:rPr>
          <w:rFonts w:cstheme="minorHAnsi"/>
        </w:rPr>
        <w:t xml:space="preserve">, with larger players possessing greater economies of scale, access to distribution networks, and marketing. </w:t>
      </w:r>
    </w:p>
    <w:p w14:paraId="15C6A539" w14:textId="27420730" w:rsidR="008F3CA6" w:rsidRPr="00E22B2F" w:rsidRDefault="00D56088" w:rsidP="00482092">
      <w:pPr>
        <w:rPr>
          <w:rFonts w:cstheme="minorHAnsi"/>
          <w:b/>
          <w:bCs/>
        </w:rPr>
      </w:pPr>
      <w:r w:rsidRPr="00E22B2F">
        <w:rPr>
          <w:rFonts w:cstheme="minorHAnsi"/>
          <w:b/>
          <w:bCs/>
        </w:rPr>
        <w:t>Earnings Forecast</w:t>
      </w:r>
    </w:p>
    <w:p w14:paraId="2B1A9322" w14:textId="61D025E9" w:rsidR="00D56088" w:rsidRPr="00E22B2F" w:rsidRDefault="00D56088" w:rsidP="00482092">
      <w:pPr>
        <w:rPr>
          <w:rFonts w:cstheme="minorHAnsi"/>
        </w:rPr>
      </w:pPr>
      <w:r w:rsidRPr="00E22B2F">
        <w:rPr>
          <w:rFonts w:cstheme="minorHAnsi"/>
        </w:rPr>
        <w:t xml:space="preserve">The earnings forecast for Aaron’s is based on various drivers, such as current assets as </w:t>
      </w:r>
      <w:r w:rsidR="006004CA">
        <w:rPr>
          <w:rFonts w:cstheme="minorHAnsi"/>
        </w:rPr>
        <w:t xml:space="preserve">a </w:t>
      </w:r>
      <w:r w:rsidRPr="00E22B2F">
        <w:rPr>
          <w:rFonts w:cstheme="minorHAnsi"/>
        </w:rPr>
        <w:t>percentage of sales, debt trends, etc. (see our earnings forecast to view and interact with all drivers and assumptions). Again, while some of these drivers are standard, some are firm/industry specific</w:t>
      </w:r>
      <w:r w:rsidR="002512E0" w:rsidRPr="00E22B2F">
        <w:rPr>
          <w:rFonts w:cstheme="minorHAnsi"/>
        </w:rPr>
        <w:t xml:space="preserve">. An example of a firm specific driver for Aaron’s </w:t>
      </w:r>
      <w:r w:rsidR="006004CA">
        <w:rPr>
          <w:rFonts w:cstheme="minorHAnsi"/>
        </w:rPr>
        <w:t>d</w:t>
      </w:r>
      <w:r w:rsidR="002512E0" w:rsidRPr="00E22B2F">
        <w:rPr>
          <w:rFonts w:cstheme="minorHAnsi"/>
        </w:rPr>
        <w:t xml:space="preserve">epreciation of lease merchandise as </w:t>
      </w:r>
      <w:r w:rsidR="00E46915">
        <w:rPr>
          <w:rFonts w:cstheme="minorHAnsi"/>
        </w:rPr>
        <w:t xml:space="preserve">a </w:t>
      </w:r>
      <w:r w:rsidR="006004CA">
        <w:rPr>
          <w:rFonts w:cstheme="minorHAnsi"/>
        </w:rPr>
        <w:t>percent</w:t>
      </w:r>
      <w:r w:rsidR="002512E0" w:rsidRPr="00E22B2F">
        <w:rPr>
          <w:rFonts w:cstheme="minorHAnsi"/>
        </w:rPr>
        <w:t xml:space="preserve"> of Revenue QoQ</w:t>
      </w:r>
      <w:r w:rsidR="006004CA">
        <w:rPr>
          <w:rFonts w:cstheme="minorHAnsi"/>
        </w:rPr>
        <w:t xml:space="preserve"> (quarter over quarter)</w:t>
      </w:r>
      <w:r w:rsidR="002512E0" w:rsidRPr="00E22B2F">
        <w:rPr>
          <w:rFonts w:cstheme="minorHAnsi"/>
        </w:rPr>
        <w:t xml:space="preserve">. </w:t>
      </w:r>
      <w:r w:rsidRPr="00E22B2F">
        <w:rPr>
          <w:rFonts w:cstheme="minorHAnsi"/>
        </w:rPr>
        <w:t>Almost all line entries are based on the drivers mentioned above, which are based on historical averages and regression analysis.</w:t>
      </w:r>
    </w:p>
    <w:p w14:paraId="26AAFAFB" w14:textId="3A668697" w:rsidR="00D56088" w:rsidRPr="00E22B2F" w:rsidRDefault="00527915" w:rsidP="00482092">
      <w:pPr>
        <w:rPr>
          <w:rFonts w:cstheme="minorHAnsi"/>
        </w:rPr>
      </w:pPr>
      <w:r w:rsidRPr="00527915">
        <w:rPr>
          <w:noProof/>
        </w:rPr>
        <w:lastRenderedPageBreak/>
        <w:drawing>
          <wp:inline distT="0" distB="0" distL="0" distR="0" wp14:anchorId="0AE03169" wp14:editId="68207A6D">
            <wp:extent cx="6711472" cy="3374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2714" cy="3385059"/>
                    </a:xfrm>
                    <a:prstGeom prst="rect">
                      <a:avLst/>
                    </a:prstGeom>
                    <a:noFill/>
                    <a:ln>
                      <a:noFill/>
                    </a:ln>
                  </pic:spPr>
                </pic:pic>
              </a:graphicData>
            </a:graphic>
          </wp:inline>
        </w:drawing>
      </w:r>
    </w:p>
    <w:p w14:paraId="53481FDE" w14:textId="40BF54A2" w:rsidR="002512E0" w:rsidRPr="00E22B2F" w:rsidRDefault="002512E0" w:rsidP="00482092">
      <w:pPr>
        <w:rPr>
          <w:rFonts w:cstheme="minorHAnsi"/>
          <w:b/>
          <w:bCs/>
        </w:rPr>
      </w:pPr>
      <w:r w:rsidRPr="00E22B2F">
        <w:rPr>
          <w:rFonts w:cstheme="minorHAnsi"/>
          <w:b/>
          <w:bCs/>
        </w:rPr>
        <w:t>Valuation</w:t>
      </w:r>
    </w:p>
    <w:p w14:paraId="071EB4CE" w14:textId="0566A8C8" w:rsidR="00645A73" w:rsidRPr="00E22B2F" w:rsidRDefault="00645A73" w:rsidP="00482092">
      <w:pPr>
        <w:rPr>
          <w:rFonts w:cstheme="minorHAnsi"/>
        </w:rPr>
      </w:pPr>
      <w:r w:rsidRPr="00E22B2F">
        <w:rPr>
          <w:rFonts w:cstheme="minorHAnsi"/>
        </w:rPr>
        <w:t xml:space="preserve">A standard long term FCFE growth rate of 3.50% is used, while the short-term growth rate comes from historical trends (averages) year over year. The short-term growth rate we calculated was 8.46%. The Cost of equity is dependent on the long-term growth rate and the firm forward P/E ratio. The cost of equity we calculated was 12.81%. The sector forward P/E ratio was pulled from Yardini </w:t>
      </w:r>
      <w:r w:rsidR="50CAC0A0" w:rsidRPr="00E22B2F">
        <w:rPr>
          <w:rFonts w:cstheme="minorHAnsi"/>
        </w:rPr>
        <w:t>R</w:t>
      </w:r>
      <w:r w:rsidRPr="00E22B2F">
        <w:rPr>
          <w:rFonts w:cstheme="minorHAnsi"/>
        </w:rPr>
        <w:t>esearch</w:t>
      </w:r>
      <w:r w:rsidR="07AF5F25" w:rsidRPr="00E22B2F">
        <w:rPr>
          <w:rFonts w:cstheme="minorHAnsi"/>
        </w:rPr>
        <w:t xml:space="preserve"> </w:t>
      </w:r>
      <w:r w:rsidR="006004CA">
        <w:rPr>
          <w:rFonts w:cstheme="minorHAnsi"/>
        </w:rPr>
        <w:t xml:space="preserve">on </w:t>
      </w:r>
      <w:r w:rsidR="07AF5F25" w:rsidRPr="00E22B2F">
        <w:rPr>
          <w:rFonts w:cstheme="minorHAnsi"/>
        </w:rPr>
        <w:t>November 11</w:t>
      </w:r>
      <w:r w:rsidR="07AF5F25" w:rsidRPr="00E22B2F">
        <w:rPr>
          <w:rFonts w:cstheme="minorHAnsi"/>
          <w:vertAlign w:val="superscript"/>
        </w:rPr>
        <w:t>th</w:t>
      </w:r>
      <w:r w:rsidR="07AF5F25" w:rsidRPr="00E22B2F">
        <w:rPr>
          <w:rFonts w:cstheme="minorHAnsi"/>
        </w:rPr>
        <w:t>, 2020</w:t>
      </w:r>
      <w:r w:rsidRPr="00E22B2F">
        <w:rPr>
          <w:rFonts w:cstheme="minorHAnsi"/>
        </w:rPr>
        <w:t>.</w:t>
      </w:r>
    </w:p>
    <w:p w14:paraId="38367991" w14:textId="47CDCE15" w:rsidR="00E54198" w:rsidRPr="00E22B2F" w:rsidRDefault="00637C73" w:rsidP="00482092">
      <w:pPr>
        <w:rPr>
          <w:rFonts w:cstheme="minorHAnsi"/>
        </w:rPr>
      </w:pPr>
      <w:r w:rsidRPr="00637C73">
        <w:rPr>
          <w:noProof/>
        </w:rPr>
        <w:drawing>
          <wp:inline distT="0" distB="0" distL="0" distR="0" wp14:anchorId="24EC75C4" wp14:editId="6DEEBCFE">
            <wp:extent cx="6711315" cy="97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5859" cy="998337"/>
                    </a:xfrm>
                    <a:prstGeom prst="rect">
                      <a:avLst/>
                    </a:prstGeom>
                    <a:noFill/>
                    <a:ln>
                      <a:noFill/>
                    </a:ln>
                  </pic:spPr>
                </pic:pic>
              </a:graphicData>
            </a:graphic>
          </wp:inline>
        </w:drawing>
      </w:r>
    </w:p>
    <w:p w14:paraId="55D709B8" w14:textId="6074C2F5" w:rsidR="002512E0" w:rsidRPr="00E22B2F" w:rsidRDefault="004601FA" w:rsidP="00482092">
      <w:pPr>
        <w:rPr>
          <w:rFonts w:cstheme="minorHAnsi"/>
        </w:rPr>
      </w:pPr>
      <w:r w:rsidRPr="004601FA">
        <w:rPr>
          <w:noProof/>
        </w:rPr>
        <w:lastRenderedPageBreak/>
        <w:drawing>
          <wp:inline distT="0" distB="0" distL="0" distR="0" wp14:anchorId="2DE5A949" wp14:editId="5E5E8F1B">
            <wp:extent cx="6724149" cy="272701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2462" cy="2734443"/>
                    </a:xfrm>
                    <a:prstGeom prst="rect">
                      <a:avLst/>
                    </a:prstGeom>
                    <a:noFill/>
                    <a:ln>
                      <a:noFill/>
                    </a:ln>
                  </pic:spPr>
                </pic:pic>
              </a:graphicData>
            </a:graphic>
          </wp:inline>
        </w:drawing>
      </w:r>
    </w:p>
    <w:p w14:paraId="467EE5B3" w14:textId="6CD777A0" w:rsidR="00C211E2" w:rsidRPr="00E22B2F" w:rsidRDefault="00C211E2" w:rsidP="00E54198">
      <w:pPr>
        <w:rPr>
          <w:rFonts w:cstheme="minorHAnsi"/>
          <w:b/>
          <w:bCs/>
        </w:rPr>
      </w:pPr>
      <w:r w:rsidRPr="00E22B2F">
        <w:rPr>
          <w:rFonts w:cstheme="minorHAnsi"/>
          <w:b/>
          <w:bCs/>
        </w:rPr>
        <w:t>Sensitivity Analysis</w:t>
      </w:r>
    </w:p>
    <w:p w14:paraId="21152751" w14:textId="5AA3B67A" w:rsidR="00C211E2" w:rsidRPr="00E22B2F" w:rsidRDefault="00C211E2" w:rsidP="00E54198">
      <w:pPr>
        <w:rPr>
          <w:rFonts w:cstheme="minorHAnsi"/>
          <w:b/>
          <w:bCs/>
        </w:rPr>
      </w:pPr>
      <w:r w:rsidRPr="00E22B2F">
        <w:rPr>
          <w:rFonts w:cstheme="minorHAnsi"/>
        </w:rPr>
        <w:t>While we have an idea of what the most likely equity value, and subsequently, the equity value per share is, we have also sketched out other equity value</w:t>
      </w:r>
      <w:r w:rsidR="002867FD" w:rsidRPr="00E22B2F">
        <w:rPr>
          <w:rFonts w:cstheme="minorHAnsi"/>
        </w:rPr>
        <w:t>s</w:t>
      </w:r>
      <w:r w:rsidRPr="00E22B2F">
        <w:rPr>
          <w:rFonts w:cstheme="minorHAnsi"/>
        </w:rPr>
        <w:t>, and the probabilities of these values. The equity value per share that we believe to be most likely is $</w:t>
      </w:r>
      <w:r w:rsidR="00D47F64">
        <w:rPr>
          <w:rFonts w:cstheme="minorHAnsi"/>
        </w:rPr>
        <w:t>29.77.</w:t>
      </w:r>
    </w:p>
    <w:p w14:paraId="32472D7F" w14:textId="6CF784D9" w:rsidR="00C211E2" w:rsidRPr="00E22B2F" w:rsidRDefault="002D586E" w:rsidP="00E54198">
      <w:pPr>
        <w:rPr>
          <w:rFonts w:cstheme="minorHAnsi"/>
          <w:b/>
          <w:bCs/>
        </w:rPr>
      </w:pPr>
      <w:r w:rsidRPr="002D586E">
        <w:rPr>
          <w:noProof/>
        </w:rPr>
        <w:drawing>
          <wp:inline distT="0" distB="0" distL="0" distR="0" wp14:anchorId="50EEBC9B" wp14:editId="365A89AF">
            <wp:extent cx="5943600" cy="240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25A56CD7" w14:textId="73006156" w:rsidR="009F020C" w:rsidRPr="00E22B2F" w:rsidRDefault="009F020C" w:rsidP="00482092">
      <w:pPr>
        <w:rPr>
          <w:rFonts w:cstheme="minorHAnsi"/>
          <w:b/>
          <w:bCs/>
        </w:rPr>
      </w:pPr>
      <w:r w:rsidRPr="00E22B2F">
        <w:rPr>
          <w:rFonts w:cstheme="minorHAnsi"/>
          <w:b/>
          <w:bCs/>
        </w:rPr>
        <w:t>Conclusion</w:t>
      </w:r>
    </w:p>
    <w:p w14:paraId="70A31461" w14:textId="1A8085FF" w:rsidR="009F020C" w:rsidRPr="00E22B2F" w:rsidRDefault="003C7886" w:rsidP="00482092">
      <w:pPr>
        <w:rPr>
          <w:rFonts w:cstheme="minorHAnsi"/>
        </w:rPr>
      </w:pPr>
      <w:r w:rsidRPr="00E22B2F">
        <w:rPr>
          <w:rFonts w:cstheme="minorHAnsi"/>
        </w:rPr>
        <w:t xml:space="preserve">Based on the above analysis and calculations, we are recommending that the fund sell its positions in Aaron’s. We believe that the shares </w:t>
      </w:r>
      <w:proofErr w:type="gramStart"/>
      <w:r w:rsidRPr="00E22B2F">
        <w:rPr>
          <w:rFonts w:cstheme="minorHAnsi"/>
        </w:rPr>
        <w:t>are currently overvalued</w:t>
      </w:r>
      <w:proofErr w:type="gramEnd"/>
      <w:r w:rsidRPr="00E22B2F">
        <w:rPr>
          <w:rFonts w:cstheme="minorHAnsi"/>
        </w:rPr>
        <w:t xml:space="preserve"> by around 5</w:t>
      </w:r>
      <w:r w:rsidR="00166421">
        <w:rPr>
          <w:rFonts w:cstheme="minorHAnsi"/>
        </w:rPr>
        <w:t>0</w:t>
      </w:r>
      <w:r w:rsidRPr="00E22B2F">
        <w:rPr>
          <w:rFonts w:cstheme="minorHAnsi"/>
        </w:rPr>
        <w:t>%, with a</w:t>
      </w:r>
      <w:r w:rsidR="006004CA">
        <w:rPr>
          <w:rFonts w:cstheme="minorHAnsi"/>
        </w:rPr>
        <w:t>n</w:t>
      </w:r>
      <w:r w:rsidRPr="00E22B2F">
        <w:rPr>
          <w:rFonts w:cstheme="minorHAnsi"/>
        </w:rPr>
        <w:t xml:space="preserve"> equity value per share of $</w:t>
      </w:r>
      <w:r w:rsidR="00E46915">
        <w:rPr>
          <w:rFonts w:cstheme="minorHAnsi"/>
        </w:rPr>
        <w:t>29</w:t>
      </w:r>
      <w:r w:rsidRPr="00E22B2F">
        <w:rPr>
          <w:rFonts w:cstheme="minorHAnsi"/>
        </w:rPr>
        <w:t>.</w:t>
      </w:r>
      <w:r w:rsidR="00E46915">
        <w:rPr>
          <w:rFonts w:cstheme="minorHAnsi"/>
        </w:rPr>
        <w:t>77</w:t>
      </w:r>
      <w:r w:rsidRPr="00E22B2F">
        <w:rPr>
          <w:rFonts w:cstheme="minorHAnsi"/>
        </w:rPr>
        <w:t>, compared to the price of $</w:t>
      </w:r>
      <w:r w:rsidR="00E46915">
        <w:rPr>
          <w:rFonts w:cstheme="minorHAnsi"/>
        </w:rPr>
        <w:t>60.60</w:t>
      </w:r>
      <w:r w:rsidR="00E23C66" w:rsidRPr="00E22B2F">
        <w:rPr>
          <w:rFonts w:cstheme="minorHAnsi"/>
        </w:rPr>
        <w:t>.</w:t>
      </w:r>
    </w:p>
    <w:p w14:paraId="6CAF57C1" w14:textId="14B7A7C9" w:rsidR="006D7D49" w:rsidRDefault="00CA27CE" w:rsidP="00482092">
      <w:pPr>
        <w:rPr>
          <w:rFonts w:cstheme="minorHAnsi"/>
        </w:rPr>
      </w:pPr>
      <w:r w:rsidRPr="00CA27CE">
        <w:rPr>
          <w:noProof/>
        </w:rPr>
        <w:lastRenderedPageBreak/>
        <w:drawing>
          <wp:inline distT="0" distB="0" distL="0" distR="0" wp14:anchorId="37EFF6F9" wp14:editId="4F46B77B">
            <wp:extent cx="5943600" cy="199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64AC739A" w14:textId="77777777" w:rsidR="006D7D49" w:rsidRDefault="006D7D49">
      <w:pPr>
        <w:rPr>
          <w:rFonts w:cstheme="minorHAnsi"/>
        </w:rPr>
      </w:pPr>
      <w:r>
        <w:rPr>
          <w:rFonts w:cstheme="minorHAnsi"/>
        </w:rPr>
        <w:br w:type="page"/>
      </w:r>
    </w:p>
    <w:p w14:paraId="3CBE9E43" w14:textId="77777777" w:rsidR="00521A5B" w:rsidRPr="00882633" w:rsidRDefault="00521A5B" w:rsidP="00521A5B">
      <w:pPr>
        <w:jc w:val="center"/>
        <w:rPr>
          <w:rFonts w:cstheme="minorHAnsi"/>
        </w:rPr>
      </w:pPr>
      <w:r w:rsidRPr="00882633">
        <w:rPr>
          <w:rFonts w:cstheme="minorHAnsi"/>
          <w:noProof/>
        </w:rPr>
        <w:lastRenderedPageBreak/>
        <w:drawing>
          <wp:inline distT="0" distB="0" distL="0" distR="0" wp14:anchorId="136DFC99" wp14:editId="7D80330C">
            <wp:extent cx="1520190" cy="15201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p>
    <w:p w14:paraId="77CA4D53" w14:textId="77777777" w:rsidR="00521A5B" w:rsidRPr="00882633" w:rsidRDefault="00521A5B" w:rsidP="00521A5B">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Date: November 18, 2020</w:t>
      </w:r>
      <w:r w:rsidRPr="00882633">
        <w:rPr>
          <w:rFonts w:eastAsia="Times New Roman" w:cstheme="minorHAnsi"/>
          <w:color w:val="000000"/>
        </w:rPr>
        <w:tab/>
        <w:t>Forward P/E: 6.56</w:t>
      </w:r>
    </w:p>
    <w:p w14:paraId="270552F4" w14:textId="77777777" w:rsidR="00521A5B" w:rsidRPr="00882633" w:rsidRDefault="00521A5B" w:rsidP="00521A5B">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 xml:space="preserve">Company Ticker: </w:t>
      </w:r>
      <w:r>
        <w:rPr>
          <w:rFonts w:eastAsia="Times New Roman" w:cstheme="minorHAnsi"/>
          <w:color w:val="000000"/>
        </w:rPr>
        <w:t>GPI</w:t>
      </w:r>
      <w:r w:rsidRPr="00882633">
        <w:rPr>
          <w:rFonts w:eastAsia="Times New Roman" w:cstheme="minorHAnsi"/>
          <w:color w:val="000000"/>
        </w:rPr>
        <w:tab/>
        <w:t>Sector Forward P/E: 9.70</w:t>
      </w:r>
    </w:p>
    <w:p w14:paraId="124C2067" w14:textId="77777777" w:rsidR="00521A5B" w:rsidRPr="00882633" w:rsidRDefault="00521A5B" w:rsidP="00521A5B">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Sector: Consumer Discretionary</w:t>
      </w:r>
      <w:r w:rsidRPr="00882633">
        <w:rPr>
          <w:rFonts w:eastAsia="Times New Roman" w:cstheme="minorHAnsi"/>
          <w:color w:val="000000"/>
        </w:rPr>
        <w:tab/>
        <w:t>Market Price: $121.40</w:t>
      </w:r>
    </w:p>
    <w:p w14:paraId="0D83C705" w14:textId="77777777" w:rsidR="00521A5B" w:rsidRPr="00882633" w:rsidRDefault="00521A5B" w:rsidP="00521A5B">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 xml:space="preserve">Industry: </w:t>
      </w:r>
      <w:r w:rsidRPr="00AE6C80">
        <w:rPr>
          <w:rFonts w:eastAsia="Times New Roman" w:cstheme="minorHAnsi"/>
        </w:rPr>
        <w:t>Automotive Retail</w:t>
      </w:r>
      <w:r w:rsidRPr="00882633">
        <w:rPr>
          <w:rFonts w:eastAsia="Times New Roman" w:cstheme="minorHAnsi"/>
          <w:color w:val="000000"/>
        </w:rPr>
        <w:tab/>
        <w:t>Forecasted Price: $141.35</w:t>
      </w:r>
    </w:p>
    <w:p w14:paraId="1376B5C1" w14:textId="77777777" w:rsidR="00521A5B" w:rsidRPr="00882633" w:rsidRDefault="00521A5B" w:rsidP="00521A5B">
      <w:pPr>
        <w:jc w:val="center"/>
        <w:rPr>
          <w:rFonts w:cstheme="minorHAnsi"/>
          <w:b/>
          <w:bCs/>
        </w:rPr>
      </w:pPr>
      <w:r w:rsidRPr="00882633">
        <w:rPr>
          <w:rFonts w:cstheme="minorHAnsi"/>
          <w:b/>
          <w:bCs/>
        </w:rPr>
        <w:t>Recommendation: Buy</w:t>
      </w:r>
    </w:p>
    <w:p w14:paraId="4C2763A9" w14:textId="77777777" w:rsidR="00521A5B" w:rsidRPr="00405851" w:rsidRDefault="00521A5B" w:rsidP="00521A5B">
      <w:pPr>
        <w:rPr>
          <w:rFonts w:cstheme="minorHAnsi"/>
          <w:b/>
          <w:bCs/>
        </w:rPr>
      </w:pPr>
      <w:r w:rsidRPr="00405851">
        <w:rPr>
          <w:rFonts w:cstheme="minorHAnsi"/>
          <w:b/>
          <w:bCs/>
        </w:rPr>
        <w:t>Company Summary</w:t>
      </w:r>
    </w:p>
    <w:p w14:paraId="1E272D3A" w14:textId="77777777" w:rsidR="00521A5B" w:rsidRPr="00405851" w:rsidRDefault="00521A5B" w:rsidP="00521A5B">
      <w:pPr>
        <w:rPr>
          <w:rFonts w:cstheme="minorHAnsi"/>
        </w:rPr>
      </w:pPr>
      <w:r w:rsidRPr="00405851">
        <w:rPr>
          <w:rFonts w:cstheme="minorHAnsi"/>
        </w:rPr>
        <w:t>Group 1 Automotive is an automotive retailer that offers new and used cars and light trucks, arranges related vehicle financing, and service and insurance contracts. It also provides automotive maintenance and repair services and sells vehicle parts. They operate out of three main geographical segments: Brazil, the United Kingdom, and the United States. Group 1 owns and operates 238 franchises offering 30 brands of automobiles at 186 dealership locations and 49 collision centers worldwide.</w:t>
      </w:r>
    </w:p>
    <w:p w14:paraId="5FFED3F3" w14:textId="77777777" w:rsidR="00521A5B" w:rsidRPr="00405851" w:rsidRDefault="00521A5B" w:rsidP="00521A5B">
      <w:pPr>
        <w:rPr>
          <w:rFonts w:cstheme="minorHAnsi"/>
          <w:b/>
          <w:bCs/>
        </w:rPr>
      </w:pPr>
      <w:r w:rsidRPr="00405851">
        <w:rPr>
          <w:rFonts w:cstheme="minorHAnsi"/>
          <w:b/>
          <w:bCs/>
        </w:rPr>
        <w:t>Industry Outlook</w:t>
      </w:r>
    </w:p>
    <w:p w14:paraId="4E15EEDD" w14:textId="77777777" w:rsidR="00521A5B" w:rsidRDefault="00521A5B" w:rsidP="00521A5B">
      <w:pPr>
        <w:rPr>
          <w:rFonts w:cstheme="minorHAnsi"/>
          <w:color w:val="333333"/>
          <w:shd w:val="clear" w:color="auto" w:fill="FFFFFF"/>
        </w:rPr>
      </w:pPr>
      <w:r w:rsidRPr="00405851">
        <w:rPr>
          <w:rFonts w:cstheme="minorHAnsi"/>
        </w:rPr>
        <w:t>Group 1 operates in the industry known as “New Car Dealers in the US”, as they sell new and used vehicles. I</w:t>
      </w:r>
      <w:r w:rsidRPr="00405851">
        <w:rPr>
          <w:rFonts w:cstheme="minorHAnsi"/>
          <w:color w:val="333333"/>
          <w:shd w:val="clear" w:color="auto" w:fill="FFFFFF"/>
        </w:rPr>
        <w:t>ndustry revenue will</w:t>
      </w:r>
      <w:r>
        <w:rPr>
          <w:rFonts w:cstheme="minorHAnsi"/>
          <w:color w:val="333333"/>
          <w:shd w:val="clear" w:color="auto" w:fill="FFFFFF"/>
        </w:rPr>
        <w:t xml:space="preserve"> </w:t>
      </w:r>
      <w:proofErr w:type="gramStart"/>
      <w:r>
        <w:rPr>
          <w:rFonts w:cstheme="minorHAnsi"/>
          <w:color w:val="333333"/>
          <w:shd w:val="clear" w:color="auto" w:fill="FFFFFF"/>
        </w:rPr>
        <w:t>likely</w:t>
      </w:r>
      <w:r w:rsidRPr="00405851">
        <w:rPr>
          <w:rFonts w:cstheme="minorHAnsi"/>
          <w:color w:val="333333"/>
          <w:shd w:val="clear" w:color="auto" w:fill="FFFFFF"/>
        </w:rPr>
        <w:t xml:space="preserve"> increase</w:t>
      </w:r>
      <w:proofErr w:type="gramEnd"/>
      <w:r>
        <w:rPr>
          <w:rFonts w:cstheme="minorHAnsi"/>
          <w:color w:val="333333"/>
          <w:shd w:val="clear" w:color="auto" w:fill="FFFFFF"/>
        </w:rPr>
        <w:t xml:space="preserve"> over time, due to an increase in consumer confidence and the current low interest rate levels due to the coronavirus pandemic. IBISWorld predicts that revenues in the industry will </w:t>
      </w:r>
      <w:r w:rsidRPr="00405851">
        <w:rPr>
          <w:rFonts w:cstheme="minorHAnsi"/>
          <w:color w:val="333333"/>
          <w:shd w:val="clear" w:color="auto" w:fill="FFFFFF"/>
        </w:rPr>
        <w:t>ris</w:t>
      </w:r>
      <w:r>
        <w:rPr>
          <w:rFonts w:cstheme="minorHAnsi"/>
          <w:color w:val="333333"/>
          <w:shd w:val="clear" w:color="auto" w:fill="FFFFFF"/>
        </w:rPr>
        <w:t>e</w:t>
      </w:r>
      <w:r w:rsidRPr="00405851">
        <w:rPr>
          <w:rFonts w:cstheme="minorHAnsi"/>
          <w:color w:val="333333"/>
          <w:shd w:val="clear" w:color="auto" w:fill="FFFFFF"/>
        </w:rPr>
        <w:t xml:space="preserve"> at an annualized rate of 5.1% to $1.0 trillion over the five years</w:t>
      </w:r>
      <w:r>
        <w:rPr>
          <w:rFonts w:cstheme="minorHAnsi"/>
          <w:color w:val="333333"/>
          <w:shd w:val="clear" w:color="auto" w:fill="FFFFFF"/>
        </w:rPr>
        <w:t xml:space="preserve">. These predictions obviously hinge on how the economy and the greater World recovers from the recent coronavirus pandemic. Higher (or lower) consumer confidence levels will lead to higher (or lower) revenues for the industry. The same statement can </w:t>
      </w:r>
      <w:proofErr w:type="gramStart"/>
      <w:r>
        <w:rPr>
          <w:rFonts w:cstheme="minorHAnsi"/>
          <w:color w:val="333333"/>
          <w:shd w:val="clear" w:color="auto" w:fill="FFFFFF"/>
        </w:rPr>
        <w:t>be said</w:t>
      </w:r>
      <w:proofErr w:type="gramEnd"/>
      <w:r>
        <w:rPr>
          <w:rFonts w:cstheme="minorHAnsi"/>
          <w:color w:val="333333"/>
          <w:shd w:val="clear" w:color="auto" w:fill="FFFFFF"/>
        </w:rPr>
        <w:t xml:space="preserve"> for disposable income.</w:t>
      </w:r>
    </w:p>
    <w:p w14:paraId="3A79691B" w14:textId="77777777" w:rsidR="00521A5B" w:rsidRPr="00882633" w:rsidRDefault="00521A5B" w:rsidP="00521A5B">
      <w:pPr>
        <w:rPr>
          <w:rFonts w:cstheme="minorHAnsi"/>
          <w:b/>
          <w:bCs/>
        </w:rPr>
      </w:pPr>
      <w:r w:rsidRPr="00882633">
        <w:rPr>
          <w:rFonts w:cstheme="minorHAnsi"/>
          <w:b/>
          <w:bCs/>
        </w:rPr>
        <w:t>Earnings Forecast</w:t>
      </w:r>
    </w:p>
    <w:p w14:paraId="5EC1FBF6" w14:textId="77777777" w:rsidR="00521A5B" w:rsidRPr="00882633" w:rsidRDefault="00521A5B" w:rsidP="00521A5B">
      <w:pPr>
        <w:rPr>
          <w:rFonts w:cstheme="minorHAnsi"/>
        </w:rPr>
      </w:pPr>
      <w:r w:rsidRPr="00FB5154">
        <w:rPr>
          <w:noProof/>
        </w:rPr>
        <w:lastRenderedPageBreak/>
        <w:drawing>
          <wp:inline distT="0" distB="0" distL="0" distR="0" wp14:anchorId="3A335FC7" wp14:editId="5FEE180D">
            <wp:extent cx="6674893"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3251" cy="2594044"/>
                    </a:xfrm>
                    <a:prstGeom prst="rect">
                      <a:avLst/>
                    </a:prstGeom>
                    <a:noFill/>
                    <a:ln>
                      <a:noFill/>
                    </a:ln>
                  </pic:spPr>
                </pic:pic>
              </a:graphicData>
            </a:graphic>
          </wp:inline>
        </w:drawing>
      </w:r>
    </w:p>
    <w:p w14:paraId="52EBED53" w14:textId="77777777" w:rsidR="00521A5B" w:rsidRPr="00882633" w:rsidRDefault="00521A5B" w:rsidP="00521A5B">
      <w:pPr>
        <w:rPr>
          <w:rFonts w:cstheme="minorHAnsi"/>
        </w:rPr>
      </w:pPr>
      <w:r w:rsidRPr="00882633">
        <w:rPr>
          <w:rFonts w:cstheme="minorHAnsi"/>
        </w:rPr>
        <w:t xml:space="preserve">Our earnings forecast for </w:t>
      </w:r>
      <w:r>
        <w:rPr>
          <w:rFonts w:cstheme="minorHAnsi"/>
        </w:rPr>
        <w:t xml:space="preserve">Group 1 Automotive, Inc. </w:t>
      </w:r>
      <w:r w:rsidRPr="00882633">
        <w:rPr>
          <w:rFonts w:cstheme="minorHAnsi"/>
        </w:rPr>
        <w:t xml:space="preserve">is based on numerous drivers such as </w:t>
      </w:r>
      <w:r>
        <w:rPr>
          <w:rFonts w:cstheme="minorHAnsi"/>
        </w:rPr>
        <w:t xml:space="preserve">itemized </w:t>
      </w:r>
      <w:r w:rsidRPr="00882633">
        <w:rPr>
          <w:rFonts w:cstheme="minorHAnsi"/>
        </w:rPr>
        <w:t xml:space="preserve">revenue growth year over year, </w:t>
      </w:r>
      <w:r>
        <w:rPr>
          <w:rFonts w:cstheme="minorHAnsi"/>
        </w:rPr>
        <w:t>and other costs as a percentage of their relative dependencies</w:t>
      </w:r>
      <w:r w:rsidRPr="00882633">
        <w:rPr>
          <w:rFonts w:cstheme="minorHAnsi"/>
        </w:rPr>
        <w:t xml:space="preserve">, etc. (see our earnings forecast to review all drivers used). Some of these drivers are </w:t>
      </w:r>
      <w:r>
        <w:rPr>
          <w:rFonts w:cstheme="minorHAnsi"/>
        </w:rPr>
        <w:t>based on empirical data,</w:t>
      </w:r>
      <w:r w:rsidRPr="00882633">
        <w:rPr>
          <w:rFonts w:cstheme="minorHAnsi"/>
        </w:rPr>
        <w:t xml:space="preserve"> but some are </w:t>
      </w:r>
      <w:proofErr w:type="gramStart"/>
      <w:r w:rsidRPr="00882633">
        <w:rPr>
          <w:rFonts w:cstheme="minorHAnsi"/>
        </w:rPr>
        <w:t>industry</w:t>
      </w:r>
      <w:r>
        <w:rPr>
          <w:rFonts w:cstheme="minorHAnsi"/>
        </w:rPr>
        <w:t>-</w:t>
      </w:r>
      <w:r w:rsidRPr="00882633">
        <w:rPr>
          <w:rFonts w:cstheme="minorHAnsi"/>
        </w:rPr>
        <w:t>specific</w:t>
      </w:r>
      <w:proofErr w:type="gramEnd"/>
      <w:r w:rsidRPr="00882633">
        <w:rPr>
          <w:rFonts w:cstheme="minorHAnsi"/>
        </w:rPr>
        <w:t xml:space="preserve">. Our earnings forecast uses data from as far back as Q1 2016 and forecasts all the way out to Q3 2021. </w:t>
      </w:r>
      <w:proofErr w:type="gramStart"/>
      <w:r w:rsidRPr="00882633">
        <w:rPr>
          <w:rFonts w:cstheme="minorHAnsi"/>
        </w:rPr>
        <w:t>Almost all</w:t>
      </w:r>
      <w:proofErr w:type="gramEnd"/>
      <w:r w:rsidRPr="00882633">
        <w:rPr>
          <w:rFonts w:cstheme="minorHAnsi"/>
        </w:rPr>
        <w:t xml:space="preserve"> line entries are based on the drivers mentioned above, which are based on historical averages </w:t>
      </w:r>
      <w:r>
        <w:rPr>
          <w:rFonts w:cstheme="minorHAnsi"/>
        </w:rPr>
        <w:t>or</w:t>
      </w:r>
      <w:r w:rsidRPr="00882633">
        <w:rPr>
          <w:rFonts w:cstheme="minorHAnsi"/>
        </w:rPr>
        <w:t xml:space="preserve"> regression analysis. </w:t>
      </w:r>
    </w:p>
    <w:p w14:paraId="3FFC64A4" w14:textId="77777777" w:rsidR="00521A5B" w:rsidRPr="00882633" w:rsidRDefault="00521A5B" w:rsidP="00521A5B">
      <w:pPr>
        <w:rPr>
          <w:rFonts w:cstheme="minorHAnsi"/>
        </w:rPr>
      </w:pPr>
    </w:p>
    <w:p w14:paraId="50ADB919" w14:textId="77777777" w:rsidR="00521A5B" w:rsidRPr="00882633" w:rsidRDefault="00521A5B" w:rsidP="00521A5B">
      <w:pPr>
        <w:rPr>
          <w:rFonts w:cstheme="minorHAnsi"/>
          <w:b/>
          <w:bCs/>
        </w:rPr>
      </w:pPr>
      <w:r w:rsidRPr="00882633">
        <w:rPr>
          <w:rFonts w:cstheme="minorHAnsi"/>
          <w:b/>
          <w:bCs/>
        </w:rPr>
        <w:t>Valuation</w:t>
      </w:r>
    </w:p>
    <w:p w14:paraId="33A2E5E6" w14:textId="77777777" w:rsidR="00521A5B" w:rsidRPr="00882633" w:rsidRDefault="00521A5B" w:rsidP="00521A5B">
      <w:pPr>
        <w:rPr>
          <w:rFonts w:cstheme="minorHAnsi"/>
          <w:b/>
          <w:bCs/>
        </w:rPr>
      </w:pPr>
      <w:r w:rsidRPr="00C33490">
        <w:rPr>
          <w:noProof/>
        </w:rPr>
        <w:drawing>
          <wp:inline distT="0" distB="0" distL="0" distR="0" wp14:anchorId="4C1DA4DB" wp14:editId="284A423F">
            <wp:extent cx="6650186" cy="77585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2917" cy="779674"/>
                    </a:xfrm>
                    <a:prstGeom prst="rect">
                      <a:avLst/>
                    </a:prstGeom>
                    <a:noFill/>
                    <a:ln>
                      <a:noFill/>
                    </a:ln>
                  </pic:spPr>
                </pic:pic>
              </a:graphicData>
            </a:graphic>
          </wp:inline>
        </w:drawing>
      </w:r>
    </w:p>
    <w:p w14:paraId="0B5A7F07" w14:textId="77777777" w:rsidR="00521A5B" w:rsidRPr="00882633" w:rsidRDefault="00521A5B" w:rsidP="00521A5B">
      <w:pPr>
        <w:rPr>
          <w:rFonts w:cstheme="minorHAnsi"/>
          <w:b/>
          <w:bCs/>
        </w:rPr>
      </w:pPr>
      <w:r w:rsidRPr="00A33B6F">
        <w:rPr>
          <w:noProof/>
        </w:rPr>
        <w:drawing>
          <wp:inline distT="0" distB="0" distL="0" distR="0" wp14:anchorId="43DC38D0" wp14:editId="727C59CD">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29C7D42F" w14:textId="77777777" w:rsidR="00521A5B" w:rsidRPr="00882633" w:rsidRDefault="00521A5B" w:rsidP="00521A5B">
      <w:pPr>
        <w:rPr>
          <w:rFonts w:cstheme="minorHAnsi"/>
        </w:rPr>
      </w:pPr>
    </w:p>
    <w:p w14:paraId="7223E218" w14:textId="77777777" w:rsidR="00521A5B" w:rsidRPr="00882633" w:rsidRDefault="00521A5B" w:rsidP="00521A5B">
      <w:pPr>
        <w:rPr>
          <w:rFonts w:cstheme="minorHAnsi"/>
        </w:rPr>
      </w:pPr>
      <w:r w:rsidRPr="00882633">
        <w:rPr>
          <w:rFonts w:cstheme="minorHAnsi"/>
        </w:rPr>
        <w:t>A standard long</w:t>
      </w:r>
      <w:r>
        <w:rPr>
          <w:rFonts w:cstheme="minorHAnsi"/>
        </w:rPr>
        <w:t>-</w:t>
      </w:r>
      <w:r w:rsidRPr="00882633">
        <w:rPr>
          <w:rFonts w:cstheme="minorHAnsi"/>
        </w:rPr>
        <w:t xml:space="preserve">term growth rate of 3.50% </w:t>
      </w:r>
      <w:proofErr w:type="gramStart"/>
      <w:r w:rsidRPr="00882633">
        <w:rPr>
          <w:rFonts w:cstheme="minorHAnsi"/>
        </w:rPr>
        <w:t>is used</w:t>
      </w:r>
      <w:proofErr w:type="gramEnd"/>
      <w:r w:rsidRPr="00882633">
        <w:rPr>
          <w:rFonts w:cstheme="minorHAnsi"/>
        </w:rPr>
        <w:t xml:space="preserve">, while the short-term growth rate comes from historical trends (averages) year over year. The short-term growth rate we calculated was </w:t>
      </w:r>
      <w:r>
        <w:rPr>
          <w:rFonts w:cstheme="minorHAnsi"/>
        </w:rPr>
        <w:t>1.28</w:t>
      </w:r>
      <w:r w:rsidRPr="00882633">
        <w:rPr>
          <w:rFonts w:cstheme="minorHAnsi"/>
        </w:rPr>
        <w:t xml:space="preserve">%. The cost of equity we calculated was 13.81%. The Cost of equity is dependent on the long-term growth rate and the </w:t>
      </w:r>
      <w:r>
        <w:rPr>
          <w:rFonts w:cstheme="minorHAnsi"/>
        </w:rPr>
        <w:t xml:space="preserve">sector </w:t>
      </w:r>
      <w:r w:rsidRPr="00882633">
        <w:rPr>
          <w:rFonts w:cstheme="minorHAnsi"/>
        </w:rPr>
        <w:t xml:space="preserve">forward P/E ratio. Additionally, the Q3 Earnings Call revealed that management did not plan to aggressively service existing debt. Although the cost of equity may seem </w:t>
      </w:r>
      <w:proofErr w:type="gramStart"/>
      <w:r w:rsidRPr="00882633">
        <w:rPr>
          <w:rFonts w:cstheme="minorHAnsi"/>
        </w:rPr>
        <w:t>relatively high</w:t>
      </w:r>
      <w:proofErr w:type="gramEnd"/>
      <w:r w:rsidRPr="00882633">
        <w:rPr>
          <w:rFonts w:cstheme="minorHAnsi"/>
        </w:rPr>
        <w:t xml:space="preserve">, we believe these factors and forward P/E ratios among comparable firms justifies this decision. The sector forward P/E ratio </w:t>
      </w:r>
      <w:proofErr w:type="gramStart"/>
      <w:r w:rsidRPr="00882633">
        <w:rPr>
          <w:rFonts w:cstheme="minorHAnsi"/>
        </w:rPr>
        <w:t>was pulled</w:t>
      </w:r>
      <w:proofErr w:type="gramEnd"/>
      <w:r w:rsidRPr="00882633">
        <w:rPr>
          <w:rFonts w:cstheme="minorHAnsi"/>
        </w:rPr>
        <w:t xml:space="preserve"> from </w:t>
      </w:r>
      <w:proofErr w:type="spellStart"/>
      <w:r w:rsidRPr="00882633">
        <w:rPr>
          <w:rFonts w:cstheme="minorHAnsi"/>
        </w:rPr>
        <w:t>Yardeni</w:t>
      </w:r>
      <w:proofErr w:type="spellEnd"/>
      <w:r w:rsidRPr="00882633">
        <w:rPr>
          <w:rFonts w:cstheme="minorHAnsi"/>
        </w:rPr>
        <w:t xml:space="preserve"> Research’s November 11</w:t>
      </w:r>
      <w:r w:rsidRPr="00882633">
        <w:rPr>
          <w:rFonts w:cstheme="minorHAnsi"/>
          <w:vertAlign w:val="superscript"/>
        </w:rPr>
        <w:t>th</w:t>
      </w:r>
      <w:r w:rsidRPr="00882633">
        <w:rPr>
          <w:rFonts w:cstheme="minorHAnsi"/>
        </w:rPr>
        <w:t>, 2020 report.</w:t>
      </w:r>
    </w:p>
    <w:p w14:paraId="65A59672" w14:textId="77777777" w:rsidR="00521A5B" w:rsidRPr="00882633" w:rsidRDefault="00521A5B" w:rsidP="00521A5B">
      <w:pPr>
        <w:rPr>
          <w:rFonts w:cstheme="minorHAnsi"/>
        </w:rPr>
      </w:pPr>
    </w:p>
    <w:p w14:paraId="1C898AA1" w14:textId="77777777" w:rsidR="00521A5B" w:rsidRPr="00882633" w:rsidRDefault="00521A5B" w:rsidP="00521A5B">
      <w:pPr>
        <w:rPr>
          <w:rFonts w:cstheme="minorHAnsi"/>
          <w:b/>
          <w:bCs/>
        </w:rPr>
      </w:pPr>
      <w:r w:rsidRPr="00882633">
        <w:rPr>
          <w:rFonts w:cstheme="minorHAnsi"/>
          <w:b/>
          <w:bCs/>
        </w:rPr>
        <w:t>Sensitivity Analysis</w:t>
      </w:r>
    </w:p>
    <w:p w14:paraId="6397F596" w14:textId="77777777" w:rsidR="00521A5B" w:rsidRPr="00882633" w:rsidRDefault="00521A5B" w:rsidP="00521A5B">
      <w:pPr>
        <w:rPr>
          <w:rFonts w:cstheme="minorHAnsi"/>
        </w:rPr>
      </w:pPr>
      <w:r w:rsidRPr="00882633">
        <w:rPr>
          <w:rFonts w:cstheme="minorHAnsi"/>
        </w:rPr>
        <w:t xml:space="preserve">While we have an idea of what the </w:t>
      </w:r>
      <w:proofErr w:type="gramStart"/>
      <w:r w:rsidRPr="00882633">
        <w:rPr>
          <w:rFonts w:cstheme="minorHAnsi"/>
        </w:rPr>
        <w:t>most likely equity</w:t>
      </w:r>
      <w:proofErr w:type="gramEnd"/>
      <w:r w:rsidRPr="00882633">
        <w:rPr>
          <w:rFonts w:cstheme="minorHAnsi"/>
        </w:rPr>
        <w:t xml:space="preserve"> value, and subsequently, the equity value per share is, we have also </w:t>
      </w:r>
      <w:r>
        <w:rPr>
          <w:rFonts w:cstheme="minorHAnsi"/>
        </w:rPr>
        <w:t xml:space="preserve">modeled </w:t>
      </w:r>
      <w:r w:rsidRPr="00882633">
        <w:rPr>
          <w:rFonts w:cstheme="minorHAnsi"/>
        </w:rPr>
        <w:t>other equity value</w:t>
      </w:r>
      <w:r>
        <w:rPr>
          <w:rFonts w:cstheme="minorHAnsi"/>
        </w:rPr>
        <w:t>s</w:t>
      </w:r>
      <w:r w:rsidRPr="00882633">
        <w:rPr>
          <w:rFonts w:cstheme="minorHAnsi"/>
        </w:rPr>
        <w:t xml:space="preserve"> and the probabilities of these values. </w:t>
      </w:r>
      <w:r>
        <w:rPr>
          <w:rFonts w:cstheme="minorHAnsi"/>
        </w:rPr>
        <w:t xml:space="preserve">The model predicts that the most probabilistic </w:t>
      </w:r>
      <w:r w:rsidRPr="00882633">
        <w:rPr>
          <w:rFonts w:cstheme="minorHAnsi"/>
        </w:rPr>
        <w:t>equity value per share is $</w:t>
      </w:r>
      <w:r>
        <w:rPr>
          <w:rFonts w:cstheme="minorHAnsi"/>
        </w:rPr>
        <w:t>141.35</w:t>
      </w:r>
      <w:r w:rsidRPr="00882633">
        <w:rPr>
          <w:rFonts w:cstheme="minorHAnsi"/>
        </w:rPr>
        <w:t>.</w:t>
      </w:r>
    </w:p>
    <w:p w14:paraId="57B5770C" w14:textId="77777777" w:rsidR="00521A5B" w:rsidRPr="00882633" w:rsidRDefault="00521A5B" w:rsidP="00521A5B">
      <w:pPr>
        <w:rPr>
          <w:rFonts w:cstheme="minorHAnsi"/>
        </w:rPr>
      </w:pPr>
      <w:r w:rsidRPr="00D87443">
        <w:rPr>
          <w:noProof/>
        </w:rPr>
        <w:drawing>
          <wp:inline distT="0" distB="0" distL="0" distR="0" wp14:anchorId="278E104D" wp14:editId="10141325">
            <wp:extent cx="5943600" cy="2204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67A4F55A" w14:textId="77777777" w:rsidR="00521A5B" w:rsidRPr="00882633" w:rsidRDefault="00521A5B" w:rsidP="00521A5B">
      <w:pPr>
        <w:rPr>
          <w:rFonts w:cstheme="minorHAnsi"/>
          <w:b/>
          <w:bCs/>
        </w:rPr>
      </w:pPr>
      <w:r w:rsidRPr="00882633">
        <w:rPr>
          <w:rFonts w:cstheme="minorHAnsi"/>
          <w:b/>
          <w:bCs/>
        </w:rPr>
        <w:t>Conclusion</w:t>
      </w:r>
    </w:p>
    <w:p w14:paraId="3E657069" w14:textId="77777777" w:rsidR="00521A5B" w:rsidRPr="00882633" w:rsidRDefault="00521A5B" w:rsidP="00521A5B">
      <w:pPr>
        <w:rPr>
          <w:rFonts w:cstheme="minorHAnsi"/>
        </w:rPr>
      </w:pPr>
      <w:r w:rsidRPr="00882633">
        <w:rPr>
          <w:rFonts w:cstheme="minorHAnsi"/>
        </w:rPr>
        <w:t xml:space="preserve">Based on the analysis provided above, we recommend </w:t>
      </w:r>
      <w:r>
        <w:rPr>
          <w:rFonts w:cstheme="minorHAnsi"/>
        </w:rPr>
        <w:t>buying equity in Group 1 Automotive, Inc</w:t>
      </w:r>
      <w:r w:rsidRPr="00882633">
        <w:rPr>
          <w:rFonts w:cstheme="minorHAnsi"/>
        </w:rPr>
        <w:t xml:space="preserve">. Based on our </w:t>
      </w:r>
      <w:r>
        <w:rPr>
          <w:rFonts w:cstheme="minorHAnsi"/>
        </w:rPr>
        <w:t>modeling</w:t>
      </w:r>
      <w:r w:rsidRPr="00882633">
        <w:rPr>
          <w:rFonts w:cstheme="minorHAnsi"/>
        </w:rPr>
        <w:t xml:space="preserve">, </w:t>
      </w:r>
      <w:r>
        <w:rPr>
          <w:rFonts w:cstheme="minorHAnsi"/>
        </w:rPr>
        <w:t xml:space="preserve">it appears that Group 1 Automotive, Inc. </w:t>
      </w:r>
      <w:proofErr w:type="gramStart"/>
      <w:r>
        <w:rPr>
          <w:rFonts w:cstheme="minorHAnsi"/>
        </w:rPr>
        <w:t>is undervalued</w:t>
      </w:r>
      <w:proofErr w:type="gramEnd"/>
      <w:r>
        <w:rPr>
          <w:rFonts w:cstheme="minorHAnsi"/>
        </w:rPr>
        <w:t xml:space="preserve"> by 16.4%</w:t>
      </w:r>
      <w:r w:rsidRPr="00882633">
        <w:rPr>
          <w:rFonts w:cstheme="minorHAnsi"/>
        </w:rPr>
        <w:t xml:space="preserve">, with a </w:t>
      </w:r>
      <w:r>
        <w:rPr>
          <w:rFonts w:cstheme="minorHAnsi"/>
        </w:rPr>
        <w:t xml:space="preserve">target price </w:t>
      </w:r>
      <w:r w:rsidRPr="00882633">
        <w:rPr>
          <w:rFonts w:cstheme="minorHAnsi"/>
        </w:rPr>
        <w:t>of $</w:t>
      </w:r>
      <w:r>
        <w:rPr>
          <w:rFonts w:cstheme="minorHAnsi"/>
        </w:rPr>
        <w:t>141.35</w:t>
      </w:r>
      <w:r w:rsidRPr="00882633">
        <w:rPr>
          <w:rFonts w:cstheme="minorHAnsi"/>
        </w:rPr>
        <w:t>.</w:t>
      </w:r>
    </w:p>
    <w:p w14:paraId="54964981" w14:textId="77777777" w:rsidR="00521A5B" w:rsidRPr="00882633" w:rsidRDefault="00521A5B" w:rsidP="00521A5B">
      <w:pPr>
        <w:rPr>
          <w:rFonts w:cstheme="minorHAnsi"/>
          <w:b/>
          <w:bCs/>
        </w:rPr>
      </w:pPr>
    </w:p>
    <w:p w14:paraId="5F4C7F2C" w14:textId="3D992340" w:rsidR="00CA27CE" w:rsidRDefault="00521A5B" w:rsidP="00482092">
      <w:pPr>
        <w:rPr>
          <w:rFonts w:cstheme="minorHAnsi"/>
        </w:rPr>
      </w:pPr>
      <w:r w:rsidRPr="00BA5362">
        <w:rPr>
          <w:noProof/>
        </w:rPr>
        <w:drawing>
          <wp:inline distT="0" distB="0" distL="0" distR="0" wp14:anchorId="6D2F3C9E" wp14:editId="483572DB">
            <wp:extent cx="5943600" cy="1686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86560"/>
                    </a:xfrm>
                    <a:prstGeom prst="rect">
                      <a:avLst/>
                    </a:prstGeom>
                    <a:noFill/>
                    <a:ln>
                      <a:noFill/>
                    </a:ln>
                  </pic:spPr>
                </pic:pic>
              </a:graphicData>
            </a:graphic>
          </wp:inline>
        </w:drawing>
      </w:r>
    </w:p>
    <w:sectPr w:rsidR="00CA2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MDIyMDAysjA0s7BQ0lEKTi0uzszPAykwqgUA0a8inCwAAAA="/>
  </w:docVars>
  <w:rsids>
    <w:rsidRoot w:val="002E539D"/>
    <w:rsid w:val="000208C7"/>
    <w:rsid w:val="00031CA8"/>
    <w:rsid w:val="00071C96"/>
    <w:rsid w:val="000A20B8"/>
    <w:rsid w:val="000C07F7"/>
    <w:rsid w:val="00166421"/>
    <w:rsid w:val="001751B8"/>
    <w:rsid w:val="0017698C"/>
    <w:rsid w:val="001C12BE"/>
    <w:rsid w:val="001C1AF4"/>
    <w:rsid w:val="00223822"/>
    <w:rsid w:val="00235E58"/>
    <w:rsid w:val="00245664"/>
    <w:rsid w:val="002512E0"/>
    <w:rsid w:val="002567D3"/>
    <w:rsid w:val="002867FD"/>
    <w:rsid w:val="00287207"/>
    <w:rsid w:val="002B36FD"/>
    <w:rsid w:val="002C2740"/>
    <w:rsid w:val="002D586E"/>
    <w:rsid w:val="002E539D"/>
    <w:rsid w:val="003255CE"/>
    <w:rsid w:val="003353CA"/>
    <w:rsid w:val="00342C64"/>
    <w:rsid w:val="00383CD8"/>
    <w:rsid w:val="003B1E30"/>
    <w:rsid w:val="003C7886"/>
    <w:rsid w:val="00422608"/>
    <w:rsid w:val="00428853"/>
    <w:rsid w:val="004601FA"/>
    <w:rsid w:val="00482092"/>
    <w:rsid w:val="00483948"/>
    <w:rsid w:val="004947E4"/>
    <w:rsid w:val="004966B8"/>
    <w:rsid w:val="004A1F5E"/>
    <w:rsid w:val="004D2664"/>
    <w:rsid w:val="004F5AA1"/>
    <w:rsid w:val="00521A5B"/>
    <w:rsid w:val="00527915"/>
    <w:rsid w:val="005423BF"/>
    <w:rsid w:val="005939F6"/>
    <w:rsid w:val="00597F70"/>
    <w:rsid w:val="005A7553"/>
    <w:rsid w:val="005D04F4"/>
    <w:rsid w:val="006004CA"/>
    <w:rsid w:val="00637C73"/>
    <w:rsid w:val="00645A73"/>
    <w:rsid w:val="006C741D"/>
    <w:rsid w:val="006D7D49"/>
    <w:rsid w:val="00705F24"/>
    <w:rsid w:val="0073126F"/>
    <w:rsid w:val="00754E62"/>
    <w:rsid w:val="007A40FC"/>
    <w:rsid w:val="008036B6"/>
    <w:rsid w:val="00837A61"/>
    <w:rsid w:val="00872949"/>
    <w:rsid w:val="00875038"/>
    <w:rsid w:val="00896630"/>
    <w:rsid w:val="008F3CA6"/>
    <w:rsid w:val="0091269D"/>
    <w:rsid w:val="00912907"/>
    <w:rsid w:val="00964094"/>
    <w:rsid w:val="009C2155"/>
    <w:rsid w:val="009F020C"/>
    <w:rsid w:val="00A017BD"/>
    <w:rsid w:val="00A042A6"/>
    <w:rsid w:val="00A1665D"/>
    <w:rsid w:val="00A6699E"/>
    <w:rsid w:val="00AE5AFA"/>
    <w:rsid w:val="00B056F2"/>
    <w:rsid w:val="00B30C6D"/>
    <w:rsid w:val="00B53DE9"/>
    <w:rsid w:val="00B77BB2"/>
    <w:rsid w:val="00BB264C"/>
    <w:rsid w:val="00C211E2"/>
    <w:rsid w:val="00C25D79"/>
    <w:rsid w:val="00C36965"/>
    <w:rsid w:val="00C62E48"/>
    <w:rsid w:val="00C6558F"/>
    <w:rsid w:val="00CA27CE"/>
    <w:rsid w:val="00CB07EA"/>
    <w:rsid w:val="00CB6622"/>
    <w:rsid w:val="00D47F64"/>
    <w:rsid w:val="00D53295"/>
    <w:rsid w:val="00D56088"/>
    <w:rsid w:val="00D67376"/>
    <w:rsid w:val="00D71DF5"/>
    <w:rsid w:val="00D752EB"/>
    <w:rsid w:val="00DD473F"/>
    <w:rsid w:val="00DD89AF"/>
    <w:rsid w:val="00DE6BF5"/>
    <w:rsid w:val="00E0179F"/>
    <w:rsid w:val="00E22B2F"/>
    <w:rsid w:val="00E23C66"/>
    <w:rsid w:val="00E46915"/>
    <w:rsid w:val="00E54198"/>
    <w:rsid w:val="00EC0C0B"/>
    <w:rsid w:val="00F11629"/>
    <w:rsid w:val="00F24823"/>
    <w:rsid w:val="00F363C5"/>
    <w:rsid w:val="00F83BD5"/>
    <w:rsid w:val="00FB502B"/>
    <w:rsid w:val="00FC6350"/>
    <w:rsid w:val="01391945"/>
    <w:rsid w:val="022C8002"/>
    <w:rsid w:val="024701D1"/>
    <w:rsid w:val="028C4295"/>
    <w:rsid w:val="03006FB0"/>
    <w:rsid w:val="04C2E9CA"/>
    <w:rsid w:val="06A91EB7"/>
    <w:rsid w:val="077BAC0B"/>
    <w:rsid w:val="07AF5F25"/>
    <w:rsid w:val="09442B2A"/>
    <w:rsid w:val="0CF9828D"/>
    <w:rsid w:val="0D8EC891"/>
    <w:rsid w:val="119147B8"/>
    <w:rsid w:val="1226730E"/>
    <w:rsid w:val="12D66E02"/>
    <w:rsid w:val="12E3E043"/>
    <w:rsid w:val="13A91B12"/>
    <w:rsid w:val="1457DEEA"/>
    <w:rsid w:val="1478EFE7"/>
    <w:rsid w:val="155EB5E0"/>
    <w:rsid w:val="177E7FD2"/>
    <w:rsid w:val="17AEA482"/>
    <w:rsid w:val="1A170AAC"/>
    <w:rsid w:val="1AC215E4"/>
    <w:rsid w:val="1F281F7C"/>
    <w:rsid w:val="1FC47F4B"/>
    <w:rsid w:val="20DDBA78"/>
    <w:rsid w:val="2196F1E2"/>
    <w:rsid w:val="2262873B"/>
    <w:rsid w:val="24A07681"/>
    <w:rsid w:val="2518BCD8"/>
    <w:rsid w:val="25948DCC"/>
    <w:rsid w:val="26BFCA82"/>
    <w:rsid w:val="2888668F"/>
    <w:rsid w:val="29E5CBC6"/>
    <w:rsid w:val="2B8947CF"/>
    <w:rsid w:val="2BFF40D7"/>
    <w:rsid w:val="2D87D915"/>
    <w:rsid w:val="2E333B8A"/>
    <w:rsid w:val="30608398"/>
    <w:rsid w:val="30A6517A"/>
    <w:rsid w:val="30EEAA4D"/>
    <w:rsid w:val="31AE11CB"/>
    <w:rsid w:val="31EFDE33"/>
    <w:rsid w:val="338CB23D"/>
    <w:rsid w:val="355FF830"/>
    <w:rsid w:val="36685A91"/>
    <w:rsid w:val="3762246F"/>
    <w:rsid w:val="38053283"/>
    <w:rsid w:val="38F63326"/>
    <w:rsid w:val="3B015201"/>
    <w:rsid w:val="3BCF39B4"/>
    <w:rsid w:val="3FCE7C85"/>
    <w:rsid w:val="3FFA9D69"/>
    <w:rsid w:val="40D16533"/>
    <w:rsid w:val="43200735"/>
    <w:rsid w:val="44A2AF39"/>
    <w:rsid w:val="469977B8"/>
    <w:rsid w:val="48354819"/>
    <w:rsid w:val="4B11F0BD"/>
    <w:rsid w:val="4C45B271"/>
    <w:rsid w:val="4EB95AE1"/>
    <w:rsid w:val="4FE561E0"/>
    <w:rsid w:val="50237BE0"/>
    <w:rsid w:val="5059DFEF"/>
    <w:rsid w:val="50CAC0A0"/>
    <w:rsid w:val="51757C78"/>
    <w:rsid w:val="54E796ED"/>
    <w:rsid w:val="575A9D4D"/>
    <w:rsid w:val="577962D0"/>
    <w:rsid w:val="587FCFDC"/>
    <w:rsid w:val="59BB0810"/>
    <w:rsid w:val="5A8523FD"/>
    <w:rsid w:val="5CCBD26E"/>
    <w:rsid w:val="5D497CA8"/>
    <w:rsid w:val="5DF9779C"/>
    <w:rsid w:val="6042D659"/>
    <w:rsid w:val="615F11FF"/>
    <w:rsid w:val="63DE669B"/>
    <w:rsid w:val="6684EBAA"/>
    <w:rsid w:val="66D2444A"/>
    <w:rsid w:val="67F8DA6F"/>
    <w:rsid w:val="697D89CA"/>
    <w:rsid w:val="6B1AC482"/>
    <w:rsid w:val="6B5D222A"/>
    <w:rsid w:val="6C2D9A8E"/>
    <w:rsid w:val="70374ECE"/>
    <w:rsid w:val="711B07F4"/>
    <w:rsid w:val="72941E36"/>
    <w:rsid w:val="72D1D885"/>
    <w:rsid w:val="732C5996"/>
    <w:rsid w:val="742BD252"/>
    <w:rsid w:val="749D4C4E"/>
    <w:rsid w:val="74B4C411"/>
    <w:rsid w:val="7663FA58"/>
    <w:rsid w:val="76DF7983"/>
    <w:rsid w:val="780CA4A4"/>
    <w:rsid w:val="792619D9"/>
    <w:rsid w:val="79A246DE"/>
    <w:rsid w:val="7A10E7E6"/>
    <w:rsid w:val="7B03E2B2"/>
    <w:rsid w:val="7B19882D"/>
    <w:rsid w:val="7BC8B904"/>
    <w:rsid w:val="7DC148AD"/>
    <w:rsid w:val="7E007C63"/>
    <w:rsid w:val="7E7F4D81"/>
    <w:rsid w:val="7ED5B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AC17"/>
  <w15:chartTrackingRefBased/>
  <w15:docId w15:val="{6FDDE7F2-4A91-4B23-B4ED-3BCE4037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7337">
      <w:bodyDiv w:val="1"/>
      <w:marLeft w:val="0"/>
      <w:marRight w:val="0"/>
      <w:marTop w:val="0"/>
      <w:marBottom w:val="0"/>
      <w:divBdr>
        <w:top w:val="none" w:sz="0" w:space="0" w:color="auto"/>
        <w:left w:val="none" w:sz="0" w:space="0" w:color="auto"/>
        <w:bottom w:val="none" w:sz="0" w:space="0" w:color="auto"/>
        <w:right w:val="none" w:sz="0" w:space="0" w:color="auto"/>
      </w:divBdr>
    </w:div>
    <w:div w:id="266085898">
      <w:bodyDiv w:val="1"/>
      <w:marLeft w:val="0"/>
      <w:marRight w:val="0"/>
      <w:marTop w:val="0"/>
      <w:marBottom w:val="0"/>
      <w:divBdr>
        <w:top w:val="none" w:sz="0" w:space="0" w:color="auto"/>
        <w:left w:val="none" w:sz="0" w:space="0" w:color="auto"/>
        <w:bottom w:val="none" w:sz="0" w:space="0" w:color="auto"/>
        <w:right w:val="none" w:sz="0" w:space="0" w:color="auto"/>
      </w:divBdr>
    </w:div>
    <w:div w:id="568267912">
      <w:bodyDiv w:val="1"/>
      <w:marLeft w:val="0"/>
      <w:marRight w:val="0"/>
      <w:marTop w:val="0"/>
      <w:marBottom w:val="0"/>
      <w:divBdr>
        <w:top w:val="none" w:sz="0" w:space="0" w:color="auto"/>
        <w:left w:val="none" w:sz="0" w:space="0" w:color="auto"/>
        <w:bottom w:val="none" w:sz="0" w:space="0" w:color="auto"/>
        <w:right w:val="none" w:sz="0" w:space="0" w:color="auto"/>
      </w:divBdr>
    </w:div>
    <w:div w:id="1303582499">
      <w:bodyDiv w:val="1"/>
      <w:marLeft w:val="0"/>
      <w:marRight w:val="0"/>
      <w:marTop w:val="0"/>
      <w:marBottom w:val="0"/>
      <w:divBdr>
        <w:top w:val="none" w:sz="0" w:space="0" w:color="auto"/>
        <w:left w:val="none" w:sz="0" w:space="0" w:color="auto"/>
        <w:bottom w:val="none" w:sz="0" w:space="0" w:color="auto"/>
        <w:right w:val="none" w:sz="0" w:space="0" w:color="auto"/>
      </w:divBdr>
    </w:div>
    <w:div w:id="1327513540">
      <w:bodyDiv w:val="1"/>
      <w:marLeft w:val="0"/>
      <w:marRight w:val="0"/>
      <w:marTop w:val="0"/>
      <w:marBottom w:val="0"/>
      <w:divBdr>
        <w:top w:val="none" w:sz="0" w:space="0" w:color="auto"/>
        <w:left w:val="none" w:sz="0" w:space="0" w:color="auto"/>
        <w:bottom w:val="none" w:sz="0" w:space="0" w:color="auto"/>
        <w:right w:val="none" w:sz="0" w:space="0" w:color="auto"/>
      </w:divBdr>
    </w:div>
    <w:div w:id="1605382177">
      <w:bodyDiv w:val="1"/>
      <w:marLeft w:val="0"/>
      <w:marRight w:val="0"/>
      <w:marTop w:val="0"/>
      <w:marBottom w:val="0"/>
      <w:divBdr>
        <w:top w:val="none" w:sz="0" w:space="0" w:color="auto"/>
        <w:left w:val="none" w:sz="0" w:space="0" w:color="auto"/>
        <w:bottom w:val="none" w:sz="0" w:space="0" w:color="auto"/>
        <w:right w:val="none" w:sz="0" w:space="0" w:color="auto"/>
      </w:divBdr>
    </w:div>
    <w:div w:id="18223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CB3E2-6A3B-4BD0-A956-F2B4F746D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bb409-a4e2-4f01-93e5-51e136a2f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40F5B-9200-4048-86F2-378B5711B67A}">
  <ds:schemaRefs>
    <ds:schemaRef ds:uri="http://schemas.microsoft.com/sharepoint/v3/contenttype/forms"/>
  </ds:schemaRefs>
</ds:datastoreItem>
</file>

<file path=customXml/itemProps3.xml><?xml version="1.0" encoding="utf-8"?>
<ds:datastoreItem xmlns:ds="http://schemas.openxmlformats.org/officeDocument/2006/customXml" ds:itemID="{9B57BE4E-4F68-441B-8887-379F85F7A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Lee A.</dc:creator>
  <cp:keywords/>
  <dc:description/>
  <cp:lastModifiedBy>Daniel Carpenter</cp:lastModifiedBy>
  <cp:revision>74</cp:revision>
  <cp:lastPrinted>2021-12-17T18:36:00Z</cp:lastPrinted>
  <dcterms:created xsi:type="dcterms:W3CDTF">2020-11-11T02:39:00Z</dcterms:created>
  <dcterms:modified xsi:type="dcterms:W3CDTF">2021-12-17T18:36:00Z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