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00D92852" w:rsidRDefault="32ED49C4" w14:paraId="2C078E63" w14:textId="435BCC22">
      <w:bookmarkStart w:name="_GoBack" w:id="0"/>
      <w:bookmarkEnd w:id="0"/>
      <w:r>
        <w:t>Copy of GCO and GIII</w:t>
      </w:r>
    </w:p>
    <w:p w:rsidR="00D92852" w:rsidRDefault="00D92852" w14:paraId="1E89DC96" w14:textId="77777777">
      <w:r>
        <w:br w:type="page"/>
      </w:r>
    </w:p>
    <w:p w:rsidRPr="00E22B2F" w:rsidR="00D92852" w:rsidP="00D92852" w:rsidRDefault="00D92852" w14:paraId="29E03B3D" w14:textId="77777777">
      <w:pPr>
        <w:jc w:val="center"/>
        <w:rPr>
          <w:rFonts w:cstheme="minorHAnsi"/>
        </w:rPr>
      </w:pPr>
      <w:r w:rsidRPr="00E22B2F">
        <w:rPr>
          <w:rFonts w:cstheme="minorHAnsi"/>
          <w:noProof/>
        </w:rPr>
        <w:drawing>
          <wp:inline distT="0" distB="0" distL="0" distR="0" wp14:anchorId="465FFD19" wp14:editId="6B7D7B1A">
            <wp:extent cx="1905000" cy="190500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pic:nvPicPr>
                  <pic:blipFill>
                    <a:blip r:embed="rId8">
                      <a:extLst>
                        <a:ext uri="{28A0092B-C50C-407E-A947-70E740481C1C}">
                          <a14:useLocalDpi xmlns:a14="http://schemas.microsoft.com/office/drawing/2010/main" val="0"/>
                        </a:ext>
                      </a:extLst>
                    </a:blip>
                    <a:stretch>
                      <a:fillRect/>
                    </a:stretch>
                  </pic:blipFill>
                  <pic:spPr>
                    <a:xfrm>
                      <a:off x="0" y="0"/>
                      <a:ext cx="1905000" cy="1905000"/>
                    </a:xfrm>
                    <a:prstGeom prst="rect">
                      <a:avLst/>
                    </a:prstGeom>
                  </pic:spPr>
                </pic:pic>
              </a:graphicData>
            </a:graphic>
          </wp:inline>
        </w:drawing>
      </w:r>
    </w:p>
    <w:p w:rsidRPr="00E22B2F" w:rsidR="00D92852" w:rsidP="00D92852" w:rsidRDefault="00D92852" w14:paraId="1A4D5759" w14:textId="77777777">
      <w:pPr>
        <w:tabs>
          <w:tab w:val="right" w:pos="9348"/>
        </w:tabs>
        <w:spacing w:after="4" w:line="266" w:lineRule="auto"/>
        <w:rPr>
          <w:rFonts w:eastAsia="Times New Roman" w:cstheme="minorHAnsi"/>
          <w:color w:val="000000"/>
        </w:rPr>
      </w:pPr>
      <w:r w:rsidRPr="00E22B2F">
        <w:rPr>
          <w:rFonts w:eastAsia="Times New Roman" w:cstheme="minorHAnsi"/>
          <w:color w:val="000000"/>
        </w:rPr>
        <w:t>Date: November 10, 2020</w:t>
      </w:r>
      <w:r w:rsidRPr="00E22B2F">
        <w:rPr>
          <w:rFonts w:eastAsia="Times New Roman" w:cstheme="minorHAnsi"/>
          <w:color w:val="000000"/>
        </w:rPr>
        <w:tab/>
      </w:r>
      <w:r w:rsidRPr="00E22B2F">
        <w:rPr>
          <w:rFonts w:eastAsia="Times New Roman" w:cstheme="minorHAnsi"/>
          <w:color w:val="000000"/>
        </w:rPr>
        <w:t>Forward P/E: 6.8858</w:t>
      </w:r>
    </w:p>
    <w:p w:rsidRPr="00E22B2F" w:rsidR="00D92852" w:rsidP="00D92852" w:rsidRDefault="00D92852" w14:paraId="241CB00D" w14:textId="77777777">
      <w:pPr>
        <w:tabs>
          <w:tab w:val="right" w:pos="9348"/>
        </w:tabs>
        <w:spacing w:after="4" w:line="266" w:lineRule="auto"/>
        <w:ind w:left="-15"/>
        <w:rPr>
          <w:rFonts w:eastAsia="Times New Roman" w:cstheme="minorHAnsi"/>
          <w:color w:val="000000"/>
        </w:rPr>
      </w:pPr>
      <w:r w:rsidRPr="00E22B2F">
        <w:rPr>
          <w:rFonts w:eastAsia="Times New Roman" w:cstheme="minorHAnsi"/>
          <w:color w:val="000000"/>
        </w:rPr>
        <w:t>Company Ticker: GIII</w:t>
      </w:r>
      <w:r w:rsidRPr="00E22B2F">
        <w:rPr>
          <w:rFonts w:eastAsia="Times New Roman" w:cstheme="minorHAnsi"/>
          <w:color w:val="000000"/>
        </w:rPr>
        <w:tab/>
      </w:r>
      <w:r w:rsidRPr="00E22B2F">
        <w:rPr>
          <w:rFonts w:eastAsia="Times New Roman" w:cstheme="minorHAnsi"/>
          <w:color w:val="000000"/>
        </w:rPr>
        <w:t>Sector Forward P/E: 9.70</w:t>
      </w:r>
    </w:p>
    <w:p w:rsidRPr="00E22B2F" w:rsidR="00D92852" w:rsidP="00D92852" w:rsidRDefault="00D92852" w14:paraId="7B9A9778" w14:textId="77777777">
      <w:pPr>
        <w:tabs>
          <w:tab w:val="right" w:pos="9348"/>
        </w:tabs>
        <w:spacing w:after="4" w:line="266" w:lineRule="auto"/>
        <w:ind w:left="-15"/>
        <w:rPr>
          <w:rFonts w:eastAsia="Times New Roman" w:cstheme="minorHAnsi"/>
          <w:color w:val="000000"/>
        </w:rPr>
      </w:pPr>
      <w:r w:rsidRPr="00E22B2F">
        <w:rPr>
          <w:rFonts w:eastAsia="Times New Roman" w:cstheme="minorHAnsi"/>
          <w:color w:val="000000"/>
        </w:rPr>
        <w:t>Sector: Consumer Discretionary</w:t>
      </w:r>
      <w:r w:rsidRPr="00E22B2F">
        <w:rPr>
          <w:rFonts w:eastAsia="Times New Roman" w:cstheme="minorHAnsi"/>
          <w:color w:val="000000"/>
        </w:rPr>
        <w:tab/>
      </w:r>
      <w:r w:rsidRPr="00E22B2F">
        <w:rPr>
          <w:rFonts w:eastAsia="Times New Roman" w:cstheme="minorHAnsi"/>
          <w:color w:val="000000"/>
        </w:rPr>
        <w:t>Market Price: $17.11</w:t>
      </w:r>
    </w:p>
    <w:p w:rsidRPr="00E22B2F" w:rsidR="00D92852" w:rsidP="00D92852" w:rsidRDefault="00D92852" w14:paraId="74B1D1FF" w14:textId="77777777">
      <w:pPr>
        <w:tabs>
          <w:tab w:val="right" w:pos="9348"/>
        </w:tabs>
        <w:spacing w:after="4" w:line="266" w:lineRule="auto"/>
        <w:ind w:left="-15"/>
        <w:rPr>
          <w:rFonts w:eastAsia="Times New Roman" w:cstheme="minorHAnsi"/>
          <w:color w:val="000000"/>
        </w:rPr>
      </w:pPr>
      <w:r w:rsidRPr="00E22B2F">
        <w:rPr>
          <w:rFonts w:eastAsia="Times New Roman" w:cstheme="minorHAnsi"/>
          <w:color w:val="000000"/>
        </w:rPr>
        <w:t>Industry: Retailing</w:t>
      </w:r>
      <w:r w:rsidRPr="00E22B2F">
        <w:rPr>
          <w:rFonts w:eastAsia="Times New Roman" w:cstheme="minorHAnsi"/>
          <w:color w:val="000000"/>
        </w:rPr>
        <w:tab/>
      </w:r>
      <w:r w:rsidRPr="00E22B2F">
        <w:rPr>
          <w:rFonts w:eastAsia="Times New Roman" w:cstheme="minorHAnsi"/>
          <w:color w:val="000000"/>
        </w:rPr>
        <w:t>Forecasted Price: $44.40</w:t>
      </w:r>
    </w:p>
    <w:p w:rsidRPr="00E22B2F" w:rsidR="00D92852" w:rsidP="00D92852" w:rsidRDefault="00D92852" w14:paraId="64D22A22" w14:textId="77777777">
      <w:pPr>
        <w:rPr>
          <w:rFonts w:cstheme="minorHAnsi"/>
          <w:b/>
          <w:bCs/>
        </w:rPr>
      </w:pPr>
    </w:p>
    <w:p w:rsidRPr="00E22B2F" w:rsidR="00D92852" w:rsidP="00D92852" w:rsidRDefault="00D92852" w14:paraId="6DA735FD" w14:textId="77777777">
      <w:pPr>
        <w:rPr>
          <w:rFonts w:cstheme="minorHAnsi"/>
          <w:b/>
          <w:bCs/>
        </w:rPr>
      </w:pPr>
      <w:r w:rsidRPr="00E22B2F">
        <w:rPr>
          <w:rFonts w:cstheme="minorHAnsi"/>
          <w:b/>
          <w:bCs/>
        </w:rPr>
        <w:t>Company Summary</w:t>
      </w:r>
    </w:p>
    <w:p w:rsidRPr="00E22B2F" w:rsidR="00D92852" w:rsidP="00D92852" w:rsidRDefault="00D92852" w14:paraId="42CF0A5E" w14:textId="77777777">
      <w:pPr>
        <w:rPr>
          <w:rFonts w:cstheme="minorHAnsi"/>
        </w:rPr>
      </w:pPr>
      <w:r w:rsidRPr="00E22B2F">
        <w:rPr>
          <w:rFonts w:cstheme="minorHAnsi"/>
        </w:rPr>
        <w:t xml:space="preserve">G-III Apparel Group is a manufacturer and distributor of outerwear, dresses, sportswear, swimwear, women’s </w:t>
      </w:r>
      <w:proofErr w:type="gramStart"/>
      <w:r w:rsidRPr="00E22B2F">
        <w:rPr>
          <w:rFonts w:cstheme="minorHAnsi"/>
        </w:rPr>
        <w:t>suits</w:t>
      </w:r>
      <w:proofErr w:type="gramEnd"/>
      <w:r w:rsidRPr="00E22B2F">
        <w:rPr>
          <w:rFonts w:cstheme="minorHAnsi"/>
        </w:rPr>
        <w:t xml:space="preserve"> and women’s performance wear. The company also sells footwear, luggage and women’s handbags, small leather goods and </w:t>
      </w:r>
      <w:proofErr w:type="gramStart"/>
      <w:r w:rsidRPr="00E22B2F">
        <w:rPr>
          <w:rFonts w:cstheme="minorHAnsi"/>
        </w:rPr>
        <w:t>cold weather</w:t>
      </w:r>
      <w:proofErr w:type="gramEnd"/>
      <w:r w:rsidRPr="00E22B2F">
        <w:rPr>
          <w:rFonts w:cstheme="minorHAnsi"/>
        </w:rPr>
        <w:t xml:space="preserve"> accessories. G-III operates across two </w:t>
      </w:r>
      <w:proofErr w:type="gramStart"/>
      <w:r w:rsidRPr="00E22B2F">
        <w:rPr>
          <w:rFonts w:cstheme="minorHAnsi"/>
        </w:rPr>
        <w:t>main business</w:t>
      </w:r>
      <w:proofErr w:type="gramEnd"/>
      <w:r w:rsidRPr="00E22B2F">
        <w:rPr>
          <w:rFonts w:cstheme="minorHAnsi"/>
        </w:rPr>
        <w:t xml:space="preserve"> segments: wholesale operation and retail operations.</w:t>
      </w:r>
    </w:p>
    <w:p w:rsidRPr="00E22B2F" w:rsidR="00D92852" w:rsidP="00D92852" w:rsidRDefault="00D92852" w14:paraId="1BCDA1E0" w14:textId="77777777">
      <w:pPr>
        <w:rPr>
          <w:rFonts w:cstheme="minorHAnsi"/>
          <w:b/>
          <w:bCs/>
        </w:rPr>
      </w:pPr>
      <w:r w:rsidRPr="00E22B2F">
        <w:rPr>
          <w:rFonts w:cstheme="minorHAnsi"/>
          <w:b/>
          <w:bCs/>
        </w:rPr>
        <w:t>Industry Outlook</w:t>
      </w:r>
    </w:p>
    <w:p w:rsidRPr="00E22B2F" w:rsidR="00D92852" w:rsidP="00D92852" w:rsidRDefault="00D92852" w14:paraId="3AC7CD2A" w14:textId="77777777">
      <w:pPr>
        <w:rPr>
          <w:rFonts w:cstheme="minorHAnsi"/>
        </w:rPr>
      </w:pPr>
      <w:r w:rsidRPr="00E22B2F">
        <w:rPr>
          <w:rFonts w:cstheme="minorHAnsi"/>
        </w:rPr>
        <w:t xml:space="preserve">G-III, like other consumer discretionary firms, operates in industries that rely on disposable income. As the economy recovers from the coronavirus, disposable income will increase, which will </w:t>
      </w:r>
      <w:proofErr w:type="gramStart"/>
      <w:r w:rsidRPr="00E22B2F">
        <w:rPr>
          <w:rFonts w:cstheme="minorHAnsi"/>
        </w:rPr>
        <w:t>likely lead</w:t>
      </w:r>
      <w:proofErr w:type="gramEnd"/>
      <w:r w:rsidRPr="00E22B2F">
        <w:rPr>
          <w:rFonts w:cstheme="minorHAnsi"/>
        </w:rPr>
        <w:t xml:space="preserve"> to revenue growth for apparel manufactures &amp; distributers like G-III. Store closings across this sector have led to decreased revenues throughout this year. As most stores across the countries </w:t>
      </w:r>
      <w:proofErr w:type="gramStart"/>
      <w:r w:rsidRPr="00E22B2F">
        <w:rPr>
          <w:rFonts w:cstheme="minorHAnsi"/>
        </w:rPr>
        <w:t>are reopened</w:t>
      </w:r>
      <w:proofErr w:type="gramEnd"/>
      <w:r w:rsidRPr="00E22B2F">
        <w:rPr>
          <w:rFonts w:cstheme="minorHAnsi"/>
        </w:rPr>
        <w:t>, companies are beginning to earn brick-and-mortar revenues again.</w:t>
      </w:r>
    </w:p>
    <w:p w:rsidRPr="00E22B2F" w:rsidR="00D92852" w:rsidP="00D92852" w:rsidRDefault="00D92852" w14:paraId="1E16A657" w14:textId="77777777">
      <w:pPr>
        <w:rPr>
          <w:rFonts w:cstheme="minorHAnsi"/>
          <w:b/>
          <w:bCs/>
        </w:rPr>
      </w:pPr>
      <w:r w:rsidRPr="00E22B2F">
        <w:rPr>
          <w:rFonts w:cstheme="minorHAnsi"/>
          <w:b/>
          <w:bCs/>
        </w:rPr>
        <w:t>Earnings Forecast</w:t>
      </w:r>
    </w:p>
    <w:p w:rsidRPr="00E22B2F" w:rsidR="00D92852" w:rsidP="00D92852" w:rsidRDefault="00D92852" w14:paraId="65F82887" w14:textId="77777777">
      <w:pPr>
        <w:rPr>
          <w:rFonts w:cstheme="minorHAnsi"/>
        </w:rPr>
      </w:pPr>
      <w:r w:rsidRPr="00E22B2F">
        <w:rPr>
          <w:rFonts w:cstheme="minorHAnsi"/>
        </w:rPr>
        <w:t>The earnings forecast for G-III is based on various drivers, such as SG&amp;A as percentage of sales, net fixed assets as percentage of sales, etc. (see our earnings forecast to view and interact with all drivers and assumptions). Again, while some of these drivers are standard, some are firm/industry specific. An example of a firm specific driver for G-III is “total G-III stockholders’ equity (deficit) – Trends</w:t>
      </w:r>
      <w:proofErr w:type="gramStart"/>
      <w:r w:rsidRPr="00E22B2F">
        <w:rPr>
          <w:rFonts w:cstheme="minorHAnsi"/>
        </w:rPr>
        <w:t>”.</w:t>
      </w:r>
      <w:proofErr w:type="gramEnd"/>
      <w:r w:rsidRPr="00E22B2F">
        <w:rPr>
          <w:rFonts w:cstheme="minorHAnsi"/>
        </w:rPr>
        <w:t xml:space="preserve"> </w:t>
      </w:r>
      <w:proofErr w:type="gramStart"/>
      <w:r w:rsidRPr="00E22B2F">
        <w:rPr>
          <w:rFonts w:cstheme="minorHAnsi"/>
        </w:rPr>
        <w:t>Almost all</w:t>
      </w:r>
      <w:proofErr w:type="gramEnd"/>
      <w:r w:rsidRPr="00E22B2F">
        <w:rPr>
          <w:rFonts w:cstheme="minorHAnsi"/>
        </w:rPr>
        <w:t xml:space="preserve"> line entries are based on the drivers mentioned above, which are based on historical averages and regression analysis.</w:t>
      </w:r>
    </w:p>
    <w:p w:rsidRPr="00E22B2F" w:rsidR="00D92852" w:rsidP="00D92852" w:rsidRDefault="00D92852" w14:paraId="7C37A379" w14:textId="77777777">
      <w:pPr>
        <w:rPr>
          <w:rFonts w:cstheme="minorHAnsi"/>
        </w:rPr>
      </w:pPr>
      <w:r w:rsidRPr="00E22B2F">
        <w:rPr>
          <w:rFonts w:cstheme="minorHAnsi"/>
          <w:noProof/>
        </w:rPr>
        <w:drawing>
          <wp:inline distT="0" distB="0" distL="0" distR="0" wp14:anchorId="47E8782D" wp14:editId="3C572732">
            <wp:extent cx="6766560" cy="1565128"/>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pic:nvPicPr>
                  <pic:blipFill>
                    <a:blip r:embed="rId9">
                      <a:extLst>
                        <a:ext uri="{28A0092B-C50C-407E-A947-70E740481C1C}">
                          <a14:useLocalDpi xmlns:a14="http://schemas.microsoft.com/office/drawing/2010/main" val="0"/>
                        </a:ext>
                      </a:extLst>
                    </a:blip>
                    <a:stretch>
                      <a:fillRect/>
                    </a:stretch>
                  </pic:blipFill>
                  <pic:spPr>
                    <a:xfrm>
                      <a:off x="0" y="0"/>
                      <a:ext cx="6766560" cy="1565128"/>
                    </a:xfrm>
                    <a:prstGeom prst="rect">
                      <a:avLst/>
                    </a:prstGeom>
                  </pic:spPr>
                </pic:pic>
              </a:graphicData>
            </a:graphic>
          </wp:inline>
        </w:drawing>
      </w:r>
    </w:p>
    <w:p w:rsidRPr="00E22B2F" w:rsidR="00D92852" w:rsidP="00D92852" w:rsidRDefault="00D92852" w14:paraId="7D875064" w14:textId="77777777">
      <w:pPr>
        <w:rPr>
          <w:rFonts w:cstheme="minorHAnsi"/>
          <w:b/>
          <w:bCs/>
        </w:rPr>
      </w:pPr>
      <w:r w:rsidRPr="00E22B2F">
        <w:rPr>
          <w:rFonts w:cstheme="minorHAnsi"/>
          <w:b/>
          <w:bCs/>
        </w:rPr>
        <w:t>Valuation</w:t>
      </w:r>
    </w:p>
    <w:p w:rsidRPr="00E22B2F" w:rsidR="00D92852" w:rsidP="00D92852" w:rsidRDefault="00D92852" w14:paraId="4B23FAD9" w14:textId="77777777">
      <w:pPr>
        <w:rPr>
          <w:rFonts w:cstheme="minorHAnsi"/>
        </w:rPr>
      </w:pPr>
      <w:r w:rsidRPr="00E22B2F">
        <w:rPr>
          <w:rFonts w:cstheme="minorHAnsi"/>
        </w:rPr>
        <w:t xml:space="preserve">A standard long term FCFE growth rate of 3.50% </w:t>
      </w:r>
      <w:proofErr w:type="gramStart"/>
      <w:r w:rsidRPr="00E22B2F">
        <w:rPr>
          <w:rFonts w:cstheme="minorHAnsi"/>
        </w:rPr>
        <w:t>is used</w:t>
      </w:r>
      <w:proofErr w:type="gramEnd"/>
      <w:r w:rsidRPr="00E22B2F">
        <w:rPr>
          <w:rFonts w:cstheme="minorHAnsi"/>
        </w:rPr>
        <w:t xml:space="preserve">, while the short-term growth rate comes from historical trends (averages) year over year. The short-term growth rate we calculated was 2.74%. The Cost of equity is dependent on the long-term growth rate and the firm forward P/E ratio. The cost of equity we calculated was 13.81%. The sector forward P/E ratio </w:t>
      </w:r>
      <w:proofErr w:type="gramStart"/>
      <w:r w:rsidRPr="00E22B2F">
        <w:rPr>
          <w:rFonts w:cstheme="minorHAnsi"/>
        </w:rPr>
        <w:t>was pulled</w:t>
      </w:r>
      <w:proofErr w:type="gramEnd"/>
      <w:r w:rsidRPr="00E22B2F">
        <w:rPr>
          <w:rFonts w:cstheme="minorHAnsi"/>
        </w:rPr>
        <w:t xml:space="preserve"> from </w:t>
      </w:r>
      <w:proofErr w:type="spellStart"/>
      <w:r w:rsidRPr="00E22B2F">
        <w:rPr>
          <w:rFonts w:cstheme="minorHAnsi"/>
        </w:rPr>
        <w:t>Yardini</w:t>
      </w:r>
      <w:proofErr w:type="spellEnd"/>
      <w:r w:rsidRPr="00E22B2F">
        <w:rPr>
          <w:rFonts w:cstheme="minorHAnsi"/>
        </w:rPr>
        <w:t xml:space="preserve"> research.</w:t>
      </w:r>
    </w:p>
    <w:p w:rsidRPr="00E22B2F" w:rsidR="00D92852" w:rsidP="00D92852" w:rsidRDefault="00D92852" w14:paraId="3E5B2DAD" w14:textId="77777777">
      <w:pPr>
        <w:rPr>
          <w:rFonts w:cstheme="minorHAnsi"/>
        </w:rPr>
      </w:pPr>
      <w:r w:rsidRPr="00E22B2F">
        <w:rPr>
          <w:rFonts w:cstheme="minorHAnsi"/>
          <w:noProof/>
        </w:rPr>
        <w:drawing>
          <wp:inline distT="0" distB="0" distL="0" distR="0" wp14:anchorId="768782A0" wp14:editId="47AB2FAE">
            <wp:extent cx="6675120" cy="1800713"/>
            <wp:effectExtent l="0" t="0" r="0"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pic:nvPicPr>
                  <pic:blipFill>
                    <a:blip r:embed="rId10">
                      <a:extLst>
                        <a:ext uri="{28A0092B-C50C-407E-A947-70E740481C1C}">
                          <a14:useLocalDpi xmlns:a14="http://schemas.microsoft.com/office/drawing/2010/main" val="0"/>
                        </a:ext>
                      </a:extLst>
                    </a:blip>
                    <a:stretch>
                      <a:fillRect/>
                    </a:stretch>
                  </pic:blipFill>
                  <pic:spPr>
                    <a:xfrm>
                      <a:off x="0" y="0"/>
                      <a:ext cx="6675120" cy="1800713"/>
                    </a:xfrm>
                    <a:prstGeom prst="rect">
                      <a:avLst/>
                    </a:prstGeom>
                  </pic:spPr>
                </pic:pic>
              </a:graphicData>
            </a:graphic>
          </wp:inline>
        </w:drawing>
      </w:r>
    </w:p>
    <w:p w:rsidRPr="00E22B2F" w:rsidR="00D92852" w:rsidP="00D92852" w:rsidRDefault="00D92852" w14:paraId="4AF40D54" w14:textId="77777777">
      <w:pPr>
        <w:rPr>
          <w:rFonts w:cstheme="minorHAnsi"/>
        </w:rPr>
      </w:pPr>
      <w:r w:rsidRPr="00E22B2F">
        <w:rPr>
          <w:rFonts w:cstheme="minorHAnsi"/>
          <w:noProof/>
        </w:rPr>
        <w:drawing>
          <wp:inline distT="0" distB="0" distL="0" distR="0" wp14:anchorId="0D511449" wp14:editId="7A83E179">
            <wp:extent cx="5943600" cy="1444625"/>
            <wp:effectExtent l="0" t="0" r="0" b="317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pic:nvPicPr>
                  <pic:blipFill>
                    <a:blip r:embed="rId11">
                      <a:extLst>
                        <a:ext uri="{28A0092B-C50C-407E-A947-70E740481C1C}">
                          <a14:useLocalDpi xmlns:a14="http://schemas.microsoft.com/office/drawing/2010/main" val="0"/>
                        </a:ext>
                      </a:extLst>
                    </a:blip>
                    <a:stretch>
                      <a:fillRect/>
                    </a:stretch>
                  </pic:blipFill>
                  <pic:spPr>
                    <a:xfrm>
                      <a:off x="0" y="0"/>
                      <a:ext cx="5943600" cy="1444625"/>
                    </a:xfrm>
                    <a:prstGeom prst="rect">
                      <a:avLst/>
                    </a:prstGeom>
                  </pic:spPr>
                </pic:pic>
              </a:graphicData>
            </a:graphic>
          </wp:inline>
        </w:drawing>
      </w:r>
    </w:p>
    <w:p w:rsidRPr="00E22B2F" w:rsidR="00D92852" w:rsidP="00D92852" w:rsidRDefault="00D92852" w14:paraId="0FB0344C" w14:textId="77777777">
      <w:pPr>
        <w:rPr>
          <w:rFonts w:cstheme="minorHAnsi"/>
          <w:b/>
          <w:bCs/>
        </w:rPr>
      </w:pPr>
      <w:r w:rsidRPr="00E22B2F">
        <w:rPr>
          <w:rFonts w:cstheme="minorHAnsi"/>
          <w:b/>
          <w:bCs/>
        </w:rPr>
        <w:t>Sensitivity Analysis</w:t>
      </w:r>
    </w:p>
    <w:p w:rsidRPr="00E22B2F" w:rsidR="00D92852" w:rsidP="00D92852" w:rsidRDefault="00D92852" w14:paraId="75D306D9" w14:textId="77777777">
      <w:pPr>
        <w:rPr>
          <w:rFonts w:cstheme="minorHAnsi"/>
          <w:b/>
          <w:bCs/>
        </w:rPr>
      </w:pPr>
      <w:r w:rsidRPr="00E22B2F">
        <w:rPr>
          <w:rFonts w:cstheme="minorHAnsi"/>
        </w:rPr>
        <w:t xml:space="preserve">While we have an idea of what the </w:t>
      </w:r>
      <w:proofErr w:type="gramStart"/>
      <w:r w:rsidRPr="00E22B2F">
        <w:rPr>
          <w:rFonts w:cstheme="minorHAnsi"/>
        </w:rPr>
        <w:t>most likely equity</w:t>
      </w:r>
      <w:proofErr w:type="gramEnd"/>
      <w:r w:rsidRPr="00E22B2F">
        <w:rPr>
          <w:rFonts w:cstheme="minorHAnsi"/>
        </w:rPr>
        <w:t xml:space="preserve"> value, and subsequently, the equity value per share is, we have also sketched out other equity values, and the probabilities of these values. The equity value per share that we believe to be </w:t>
      </w:r>
      <w:proofErr w:type="gramStart"/>
      <w:r w:rsidRPr="00E22B2F">
        <w:rPr>
          <w:rFonts w:cstheme="minorHAnsi"/>
        </w:rPr>
        <w:t>most likely is</w:t>
      </w:r>
      <w:proofErr w:type="gramEnd"/>
      <w:r w:rsidRPr="00E22B2F">
        <w:rPr>
          <w:rFonts w:cstheme="minorHAnsi"/>
        </w:rPr>
        <w:t xml:space="preserve"> $44.10.</w:t>
      </w:r>
    </w:p>
    <w:p w:rsidRPr="00E22B2F" w:rsidR="00D92852" w:rsidP="00D92852" w:rsidRDefault="00D92852" w14:paraId="3BBA985C" w14:textId="77777777">
      <w:pPr>
        <w:rPr>
          <w:rFonts w:cstheme="minorHAnsi"/>
          <w:b/>
          <w:bCs/>
        </w:rPr>
      </w:pPr>
      <w:r w:rsidRPr="00E22B2F">
        <w:rPr>
          <w:rFonts w:cstheme="minorHAnsi"/>
          <w:noProof/>
        </w:rPr>
        <w:drawing>
          <wp:inline distT="0" distB="0" distL="0" distR="0" wp14:anchorId="306DDE90" wp14:editId="01FFFAAE">
            <wp:extent cx="5943600" cy="1804670"/>
            <wp:effectExtent l="0" t="0" r="0" b="508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pic:nvPicPr>
                  <pic:blipFill>
                    <a:blip r:embed="rId12">
                      <a:extLst>
                        <a:ext uri="{28A0092B-C50C-407E-A947-70E740481C1C}">
                          <a14:useLocalDpi xmlns:a14="http://schemas.microsoft.com/office/drawing/2010/main" val="0"/>
                        </a:ext>
                      </a:extLst>
                    </a:blip>
                    <a:stretch>
                      <a:fillRect/>
                    </a:stretch>
                  </pic:blipFill>
                  <pic:spPr>
                    <a:xfrm>
                      <a:off x="0" y="0"/>
                      <a:ext cx="5943600" cy="1804670"/>
                    </a:xfrm>
                    <a:prstGeom prst="rect">
                      <a:avLst/>
                    </a:prstGeom>
                  </pic:spPr>
                </pic:pic>
              </a:graphicData>
            </a:graphic>
          </wp:inline>
        </w:drawing>
      </w:r>
    </w:p>
    <w:p w:rsidRPr="00E22B2F" w:rsidR="00D92852" w:rsidP="00D92852" w:rsidRDefault="00D92852" w14:paraId="0073E00F" w14:textId="77777777">
      <w:pPr>
        <w:rPr>
          <w:rFonts w:cstheme="minorHAnsi"/>
        </w:rPr>
      </w:pPr>
      <w:r w:rsidRPr="00E22B2F">
        <w:rPr>
          <w:rFonts w:cstheme="minorHAnsi"/>
          <w:b/>
          <w:bCs/>
        </w:rPr>
        <w:t>Conclusion</w:t>
      </w:r>
    </w:p>
    <w:p w:rsidRPr="00E22B2F" w:rsidR="00D92852" w:rsidP="00D92852" w:rsidRDefault="00D92852" w14:paraId="786762BB" w14:textId="77777777">
      <w:pPr>
        <w:rPr>
          <w:rFonts w:cstheme="minorHAnsi"/>
        </w:rPr>
      </w:pPr>
      <w:r w:rsidRPr="00E22B2F">
        <w:rPr>
          <w:rFonts w:cstheme="minorHAnsi"/>
        </w:rPr>
        <w:t xml:space="preserve">Based on our analysis and computations above, we recommend the fund purchase shares of G-III. We believe the shares </w:t>
      </w:r>
      <w:proofErr w:type="gramStart"/>
      <w:r w:rsidRPr="00E22B2F">
        <w:rPr>
          <w:rFonts w:cstheme="minorHAnsi"/>
        </w:rPr>
        <w:t>are undervalued</w:t>
      </w:r>
      <w:proofErr w:type="gramEnd"/>
      <w:r w:rsidRPr="00E22B2F">
        <w:rPr>
          <w:rFonts w:cstheme="minorHAnsi"/>
        </w:rPr>
        <w:t xml:space="preserve"> by around 160%, with an equity value per share of $17.11, versus a market value of $17.11.</w:t>
      </w:r>
    </w:p>
    <w:p w:rsidRPr="00E22B2F" w:rsidR="00D92852" w:rsidP="00D92852" w:rsidRDefault="00D92852" w14:paraId="3143A47C" w14:textId="77777777">
      <w:pPr>
        <w:rPr>
          <w:rFonts w:cstheme="minorHAnsi"/>
        </w:rPr>
      </w:pPr>
    </w:p>
    <w:p w:rsidRPr="00E22B2F" w:rsidR="00D92852" w:rsidP="00D92852" w:rsidRDefault="00D92852" w14:paraId="0B09F481" w14:textId="77777777">
      <w:pPr>
        <w:rPr>
          <w:rFonts w:cstheme="minorHAnsi"/>
        </w:rPr>
      </w:pPr>
    </w:p>
    <w:p w:rsidRPr="00E22B2F" w:rsidR="00D92852" w:rsidP="00D92852" w:rsidRDefault="00D92852" w14:paraId="17F5A8F8" w14:textId="7E09D456">
      <w:pPr>
        <w:rPr>
          <w:rFonts w:cstheme="minorHAnsi"/>
        </w:rPr>
      </w:pPr>
    </w:p>
    <w:p w:rsidR="00467985" w:rsidRDefault="00467985" w14:paraId="2EB86D48" w14:noSpellErr="1" w14:textId="319E8FAE">
      <w:r>
        <w:br w:type="page"/>
      </w:r>
    </w:p>
    <w:p w:rsidRPr="00E22B2F" w:rsidR="006E50A3" w:rsidP="5F8BE266" w:rsidRDefault="006E50A3" w14:paraId="31BA8B44" w14:noSpellErr="1" w14:textId="319E8FAE">
      <w:pPr>
        <w:rPr>
          <w:rFonts w:cs="Calibri" w:cstheme="minorAscii"/>
        </w:rPr>
      </w:pPr>
    </w:p>
    <w:p w:rsidRPr="00E22B2F" w:rsidR="006E50A3" w:rsidP="5F8BE266" w:rsidRDefault="006E50A3" w14:paraId="5C7D82F2" w14:noSpellErr="1" w14:textId="319E8FAE">
      <w:pPr>
        <w:jc w:val="center"/>
        <w:rPr>
          <w:rFonts w:cs="Calibri" w:cstheme="minorAscii"/>
        </w:rPr>
      </w:pPr>
      <w:r w:rsidR="006E50A3">
        <w:drawing>
          <wp:inline wp14:editId="5F8BE266" wp14:anchorId="36AD803B">
            <wp:extent cx="2965450" cy="1543050"/>
            <wp:effectExtent l="0" t="0" r="6350" b="0"/>
            <wp:docPr id="43" name="Picture 43" title=""/>
            <wp:cNvGraphicFramePr>
              <a:graphicFrameLocks noChangeAspect="1"/>
            </wp:cNvGraphicFramePr>
            <a:graphic>
              <a:graphicData uri="http://schemas.openxmlformats.org/drawingml/2006/picture">
                <pic:pic>
                  <pic:nvPicPr>
                    <pic:cNvPr id="0" name="Picture 43"/>
                    <pic:cNvPicPr/>
                  </pic:nvPicPr>
                  <pic:blipFill>
                    <a:blip r:embed="R9658a5f3beb4434d">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2965450" cy="1543050"/>
                    </a:xfrm>
                    <a:prstGeom prst="rect">
                      <a:avLst/>
                    </a:prstGeom>
                  </pic:spPr>
                </pic:pic>
              </a:graphicData>
            </a:graphic>
          </wp:inline>
        </w:drawing>
      </w:r>
    </w:p>
    <w:p w:rsidRPr="00E22B2F" w:rsidR="006E50A3" w:rsidP="5F8BE266" w:rsidRDefault="006E50A3" w14:paraId="5615768C" w14:textId="77777777" w14:noSpellErr="1">
      <w:pPr>
        <w:tabs>
          <w:tab w:val="right" w:pos="9348"/>
        </w:tabs>
        <w:spacing w:after="4" w:line="266" w:lineRule="auto"/>
        <w:rPr>
          <w:rFonts w:eastAsia="Times New Roman" w:cs="Calibri" w:cstheme="minorAscii"/>
          <w:color w:val="000000"/>
        </w:rPr>
      </w:pPr>
      <w:r w:rsidRPr="5F8BE266" w:rsidR="006E50A3">
        <w:rPr>
          <w:rFonts w:eastAsia="Times New Roman" w:cs="Calibri" w:cstheme="minorAscii"/>
          <w:color w:val="000000"/>
        </w:rPr>
        <w:t>Date: November 10, 2020</w:t>
      </w:r>
      <w:r w:rsidRPr="00E22B2F">
        <w:rPr>
          <w:rFonts w:eastAsia="Times New Roman" w:cstheme="minorHAnsi"/>
          <w:color w:val="000000"/>
        </w:rPr>
        <w:tab/>
      </w:r>
      <w:r w:rsidRPr="5F8BE266" w:rsidR="006E50A3">
        <w:rPr>
          <w:rFonts w:eastAsia="Times New Roman" w:cs="Calibri" w:cstheme="minorAscii"/>
          <w:color w:val="000000"/>
        </w:rPr>
        <w:t>Forward P/E: 7.4144</w:t>
      </w:r>
    </w:p>
    <w:p w:rsidRPr="00E22B2F" w:rsidR="006E50A3" w:rsidP="5F8BE266" w:rsidRDefault="006E50A3" w14:paraId="1071C3A3" w14:textId="77777777" w14:noSpellErr="1">
      <w:pPr>
        <w:tabs>
          <w:tab w:val="right" w:pos="9348"/>
        </w:tabs>
        <w:spacing w:after="4" w:line="266" w:lineRule="auto"/>
        <w:ind w:left="-15"/>
        <w:rPr>
          <w:rFonts w:eastAsia="Times New Roman" w:cs="Calibri" w:cstheme="minorAscii"/>
          <w:color w:val="000000"/>
        </w:rPr>
      </w:pPr>
      <w:r w:rsidRPr="5F8BE266" w:rsidR="006E50A3">
        <w:rPr>
          <w:rFonts w:eastAsia="Times New Roman" w:cs="Calibri" w:cstheme="minorAscii"/>
          <w:color w:val="000000"/>
        </w:rPr>
        <w:t>Company Ticker: GCO</w:t>
      </w:r>
      <w:r w:rsidRPr="00E22B2F">
        <w:rPr>
          <w:rFonts w:eastAsia="Times New Roman" w:cstheme="minorHAnsi"/>
          <w:color w:val="000000"/>
        </w:rPr>
        <w:tab/>
      </w:r>
      <w:r w:rsidRPr="5F8BE266" w:rsidR="006E50A3">
        <w:rPr>
          <w:rFonts w:eastAsia="Times New Roman" w:cs="Calibri" w:cstheme="minorAscii"/>
          <w:color w:val="000000"/>
        </w:rPr>
        <w:t>Sector Forward P/E: 9.70</w:t>
      </w:r>
    </w:p>
    <w:p w:rsidRPr="00E22B2F" w:rsidR="006E50A3" w:rsidP="5F8BE266" w:rsidRDefault="006E50A3" w14:paraId="776AF178" w14:textId="77777777" w14:noSpellErr="1">
      <w:pPr>
        <w:tabs>
          <w:tab w:val="right" w:pos="9348"/>
        </w:tabs>
        <w:spacing w:after="4" w:line="266" w:lineRule="auto"/>
        <w:ind w:left="-15"/>
        <w:rPr>
          <w:rFonts w:eastAsia="Times New Roman" w:cs="Calibri" w:cstheme="minorAscii"/>
          <w:color w:val="000000"/>
        </w:rPr>
      </w:pPr>
      <w:r w:rsidRPr="5F8BE266" w:rsidR="006E50A3">
        <w:rPr>
          <w:rFonts w:eastAsia="Times New Roman" w:cs="Calibri" w:cstheme="minorAscii"/>
          <w:color w:val="000000"/>
        </w:rPr>
        <w:t>Sector: Consumer Discretionary</w:t>
      </w:r>
      <w:r w:rsidRPr="00E22B2F">
        <w:rPr>
          <w:rFonts w:eastAsia="Times New Roman" w:cstheme="minorHAnsi"/>
          <w:color w:val="000000"/>
        </w:rPr>
        <w:tab/>
      </w:r>
      <w:r w:rsidRPr="5F8BE266" w:rsidR="006E50A3">
        <w:rPr>
          <w:rFonts w:eastAsia="Times New Roman" w:cs="Calibri" w:cstheme="minorAscii"/>
          <w:color w:val="000000"/>
        </w:rPr>
        <w:t>Market Price: $23.03</w:t>
      </w:r>
    </w:p>
    <w:p w:rsidRPr="00E22B2F" w:rsidR="006E50A3" w:rsidP="5F8BE266" w:rsidRDefault="006E50A3" w14:paraId="5CBE7DB5" w14:textId="77777777" w14:noSpellErr="1">
      <w:pPr>
        <w:tabs>
          <w:tab w:val="right" w:pos="9348"/>
        </w:tabs>
        <w:spacing w:after="4" w:line="266" w:lineRule="auto"/>
        <w:ind w:left="-15"/>
        <w:rPr>
          <w:rFonts w:eastAsia="Times New Roman" w:cs="Calibri" w:cstheme="minorAscii"/>
          <w:color w:val="000000"/>
        </w:rPr>
      </w:pPr>
      <w:r w:rsidRPr="5F8BE266" w:rsidR="006E50A3">
        <w:rPr>
          <w:rFonts w:eastAsia="Times New Roman" w:cs="Calibri" w:cstheme="minorAscii"/>
          <w:color w:val="000000"/>
        </w:rPr>
        <w:t>Industry: Retailing</w:t>
      </w:r>
      <w:r w:rsidRPr="00E22B2F">
        <w:rPr>
          <w:rFonts w:eastAsia="Times New Roman" w:cstheme="minorHAnsi"/>
          <w:color w:val="000000"/>
        </w:rPr>
        <w:tab/>
      </w:r>
      <w:r w:rsidRPr="5F8BE266" w:rsidR="006E50A3">
        <w:rPr>
          <w:rFonts w:eastAsia="Times New Roman" w:cs="Calibri" w:cstheme="minorAscii"/>
          <w:color w:val="000000"/>
        </w:rPr>
        <w:t>Forecasted Price: $47.87</w:t>
      </w:r>
    </w:p>
    <w:p w:rsidRPr="00E22B2F" w:rsidR="006E50A3" w:rsidP="5F8BE266" w:rsidRDefault="006E50A3" w14:paraId="12E95F00" w14:noSpellErr="1" w14:textId="319E8FAE">
      <w:pPr>
        <w:tabs>
          <w:tab w:val="right" w:pos="9348"/>
        </w:tabs>
        <w:spacing w:after="4" w:line="266" w:lineRule="auto"/>
        <w:ind w:left="-15"/>
        <w:rPr>
          <w:rFonts w:eastAsia="Times New Roman" w:cs="Calibri" w:cstheme="minorAscii"/>
          <w:color w:val="000000"/>
        </w:rPr>
      </w:pPr>
    </w:p>
    <w:p w:rsidRPr="00E22B2F" w:rsidR="006E50A3" w:rsidP="5F8BE266" w:rsidRDefault="006E50A3" w14:paraId="1DEE391A" w14:noSpellErr="1" w14:textId="319E8FAE">
      <w:pPr>
        <w:tabs>
          <w:tab w:val="right" w:pos="9348"/>
        </w:tabs>
        <w:spacing w:after="4" w:line="266" w:lineRule="auto"/>
        <w:ind w:left="-15"/>
        <w:rPr>
          <w:rFonts w:eastAsia="Times New Roman" w:cs="Calibri" w:cstheme="minorAscii"/>
          <w:b w:val="1"/>
          <w:bCs w:val="1"/>
          <w:color w:val="000000"/>
        </w:rPr>
      </w:pPr>
      <w:r w:rsidRPr="5F8BE266" w:rsidR="006E50A3">
        <w:rPr>
          <w:rFonts w:eastAsia="Times New Roman" w:cs="Calibri" w:cstheme="minorAscii"/>
          <w:b w:val="1"/>
          <w:bCs w:val="1"/>
          <w:color w:val="000000" w:themeColor="text1" w:themeTint="FF" w:themeShade="FF"/>
        </w:rPr>
        <w:t>Company Summary</w:t>
      </w:r>
    </w:p>
    <w:p w:rsidRPr="00E22B2F" w:rsidR="006E50A3" w:rsidP="5F8BE266" w:rsidRDefault="006E50A3" w14:paraId="57115377" w14:noSpellErr="1" w14:textId="319E8FAE">
      <w:pPr>
        <w:tabs>
          <w:tab w:val="right" w:pos="9348"/>
        </w:tabs>
        <w:spacing w:after="4" w:line="266" w:lineRule="auto"/>
        <w:ind w:left="-15"/>
        <w:rPr>
          <w:rFonts w:eastAsia="Times New Roman" w:cs="Calibri" w:cstheme="minorAscii"/>
          <w:color w:val="000000"/>
        </w:rPr>
      </w:pPr>
      <w:r w:rsidRPr="5F8BE266" w:rsidR="006E50A3">
        <w:rPr>
          <w:rFonts w:eastAsia="Times New Roman" w:cs="Calibri" w:cstheme="minorAscii"/>
          <w:color w:val="000000" w:themeColor="text1" w:themeTint="FF" w:themeShade="FF"/>
        </w:rPr>
        <w:t>Genesco Inc. sources, designs, retails, and wholesales footwear, headwear, sports apparel and accessories. Genesco markets its products through own retail stores, e-commerce portals and catalogs under Johnston &amp; Murphy, H.S. Trask, Lids, Journeys, and Little Burgundy brand names. Genesco operates under four reportable segments: Journeys Group, Johnston and Murphy Group, Schuh Group, and licensed brands.</w:t>
      </w:r>
    </w:p>
    <w:p w:rsidRPr="00E22B2F" w:rsidR="006E50A3" w:rsidP="5F8BE266" w:rsidRDefault="006E50A3" w14:paraId="4EBBDED6" w14:noSpellErr="1" w14:textId="319E8FAE">
      <w:pPr>
        <w:tabs>
          <w:tab w:val="right" w:pos="9348"/>
        </w:tabs>
        <w:spacing w:after="4" w:line="266" w:lineRule="auto"/>
        <w:ind w:left="-15"/>
        <w:rPr>
          <w:rFonts w:eastAsia="Times New Roman" w:cs="Calibri" w:cstheme="minorAscii"/>
          <w:color w:val="000000"/>
        </w:rPr>
      </w:pPr>
    </w:p>
    <w:p w:rsidRPr="00E22B2F" w:rsidR="006E50A3" w:rsidP="5F8BE266" w:rsidRDefault="006E50A3" w14:paraId="18609315" w14:noSpellErr="1" w14:textId="319E8FAE">
      <w:pPr>
        <w:tabs>
          <w:tab w:val="right" w:pos="9348"/>
        </w:tabs>
        <w:spacing w:after="4" w:line="266" w:lineRule="auto"/>
        <w:ind w:left="-15"/>
        <w:rPr>
          <w:rFonts w:eastAsia="Times New Roman" w:cs="Calibri" w:cstheme="minorAscii"/>
          <w:b w:val="1"/>
          <w:bCs w:val="1"/>
          <w:color w:val="000000"/>
        </w:rPr>
      </w:pPr>
      <w:r w:rsidRPr="5F8BE266" w:rsidR="006E50A3">
        <w:rPr>
          <w:rFonts w:eastAsia="Times New Roman" w:cs="Calibri" w:cstheme="minorAscii"/>
          <w:b w:val="1"/>
          <w:bCs w:val="1"/>
          <w:color w:val="000000" w:themeColor="text1" w:themeTint="FF" w:themeShade="FF"/>
        </w:rPr>
        <w:t>Industry Outlook</w:t>
      </w:r>
    </w:p>
    <w:p w:rsidRPr="00E22B2F" w:rsidR="006E50A3" w:rsidP="5F8BE266" w:rsidRDefault="006E50A3" w14:paraId="4BF75037" w14:noSpellErr="1" w14:textId="319E8FAE">
      <w:pPr>
        <w:tabs>
          <w:tab w:val="right" w:pos="9348"/>
        </w:tabs>
        <w:spacing w:after="4" w:line="266" w:lineRule="auto"/>
        <w:ind w:left="-15"/>
        <w:rPr>
          <w:rFonts w:eastAsia="Times New Roman" w:cs="Calibri" w:cstheme="minorAscii"/>
          <w:color w:val="000000"/>
        </w:rPr>
      </w:pPr>
      <w:r w:rsidRPr="5F8BE266" w:rsidR="006E50A3">
        <w:rPr>
          <w:rFonts w:eastAsia="Times New Roman" w:cs="Calibri" w:cstheme="minorAscii"/>
          <w:color w:val="000000" w:themeColor="text1" w:themeTint="FF" w:themeShade="FF"/>
        </w:rPr>
        <w:t>Genesco primarily operates in the following industries: shoe stores and hat stores. Hat &amp; Cap stores are projected to grow in revenue over the next five years, but that rate has been decelerated following the pandemic. An increase in the number of adults in the US is another reason the industry is expected to grow. The shoe store industry is also set to experience revenue growth for similar reasons, but has higher levels of competition, which could lead to less revenue growth on a firm to firm basis.</w:t>
      </w:r>
    </w:p>
    <w:p w:rsidRPr="00E22B2F" w:rsidR="006E50A3" w:rsidP="5F8BE266" w:rsidRDefault="006E50A3" w14:paraId="69CD21AC" w14:noSpellErr="1" w14:textId="319E8FAE">
      <w:pPr>
        <w:tabs>
          <w:tab w:val="right" w:pos="9348"/>
        </w:tabs>
        <w:spacing w:after="4" w:line="266" w:lineRule="auto"/>
        <w:ind w:left="-15"/>
        <w:rPr>
          <w:rFonts w:eastAsia="Times New Roman" w:cs="Calibri" w:cstheme="minorAscii"/>
          <w:color w:val="000000"/>
        </w:rPr>
      </w:pPr>
    </w:p>
    <w:p w:rsidRPr="00E22B2F" w:rsidR="006E50A3" w:rsidP="5F8BE266" w:rsidRDefault="006E50A3" w14:paraId="7D91BF90" w14:noSpellErr="1" w14:textId="319E8FAE">
      <w:pPr>
        <w:tabs>
          <w:tab w:val="right" w:pos="9348"/>
        </w:tabs>
        <w:spacing w:after="4" w:line="266" w:lineRule="auto"/>
        <w:ind w:left="-15"/>
        <w:rPr>
          <w:rFonts w:eastAsia="Times New Roman" w:cs="Calibri" w:cstheme="minorAscii"/>
          <w:b w:val="1"/>
          <w:bCs w:val="1"/>
          <w:color w:val="000000"/>
        </w:rPr>
      </w:pPr>
      <w:r w:rsidRPr="5F8BE266" w:rsidR="006E50A3">
        <w:rPr>
          <w:rFonts w:eastAsia="Times New Roman" w:cs="Calibri" w:cstheme="minorAscii"/>
          <w:b w:val="1"/>
          <w:bCs w:val="1"/>
          <w:color w:val="000000" w:themeColor="text1" w:themeTint="FF" w:themeShade="FF"/>
        </w:rPr>
        <w:t>Earnings Forecast</w:t>
      </w:r>
    </w:p>
    <w:p w:rsidRPr="00E22B2F" w:rsidR="006E50A3" w:rsidP="5F8BE266" w:rsidRDefault="006E50A3" w14:paraId="5B6EEFB9" w14:noSpellErr="1" w14:textId="319E8FAE">
      <w:pPr>
        <w:rPr>
          <w:rFonts w:cs="Calibri" w:cstheme="minorAscii"/>
        </w:rPr>
      </w:pPr>
      <w:r w:rsidRPr="5F8BE266" w:rsidR="006E50A3">
        <w:rPr>
          <w:rFonts w:cs="Calibri" w:cstheme="minorAscii"/>
        </w:rPr>
        <w:t>The earnings forecast for Genesco is based on various drivers, such as sales growth percentage year over year, cost of goods sold as percentage of sales, etc. (see our earnings forecast to view and interact with all drivers and assumptions). In a slight difference compared to the other firms analyzed, none of the drivers for Genesco’s earnings forecast are very firm-specific. Almost all line entries are based on the drivers mentioned above, which are based on historical averages and regression analysis.</w:t>
      </w:r>
    </w:p>
    <w:p w:rsidRPr="00E22B2F" w:rsidR="006E50A3" w:rsidP="5F8BE266" w:rsidRDefault="006E50A3" w14:paraId="49EF6226" w14:noSpellErr="1" w14:textId="319E8FAE">
      <w:pPr>
        <w:rPr>
          <w:rFonts w:cs="Calibri" w:cstheme="minorAscii"/>
        </w:rPr>
      </w:pPr>
      <w:r w:rsidR="006E50A3">
        <w:drawing>
          <wp:inline wp14:editId="4F5D5900" wp14:anchorId="2CE47F8A">
            <wp:extent cx="6492240" cy="2066281"/>
            <wp:effectExtent l="0" t="0" r="3810" b="0"/>
            <wp:docPr id="44" name="Picture 44" title=""/>
            <wp:cNvGraphicFramePr>
              <a:graphicFrameLocks noChangeAspect="1"/>
            </wp:cNvGraphicFramePr>
            <a:graphic>
              <a:graphicData uri="http://schemas.openxmlformats.org/drawingml/2006/picture">
                <pic:pic>
                  <pic:nvPicPr>
                    <pic:cNvPr id="0" name="Picture 44"/>
                    <pic:cNvPicPr/>
                  </pic:nvPicPr>
                  <pic:blipFill>
                    <a:blip r:embed="R91cb3ef18b8e4743">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6492240" cy="2066281"/>
                    </a:xfrm>
                    <a:prstGeom prst="rect">
                      <a:avLst/>
                    </a:prstGeom>
                  </pic:spPr>
                </pic:pic>
              </a:graphicData>
            </a:graphic>
          </wp:inline>
        </w:drawing>
      </w:r>
    </w:p>
    <w:p w:rsidRPr="00E22B2F" w:rsidR="006E50A3" w:rsidP="5F8BE266" w:rsidRDefault="006E50A3" w14:paraId="7F9532C1" w14:noSpellErr="1" w14:textId="319E8FAE">
      <w:pPr>
        <w:rPr>
          <w:rFonts w:cs="Calibri" w:cstheme="minorAscii"/>
          <w:b w:val="1"/>
          <w:bCs w:val="1"/>
        </w:rPr>
      </w:pPr>
      <w:r w:rsidRPr="5F8BE266" w:rsidR="006E50A3">
        <w:rPr>
          <w:rFonts w:cs="Calibri" w:cstheme="minorAscii"/>
          <w:b w:val="1"/>
          <w:bCs w:val="1"/>
        </w:rPr>
        <w:t>Valuation</w:t>
      </w:r>
    </w:p>
    <w:p w:rsidRPr="00E22B2F" w:rsidR="006E50A3" w:rsidP="5F8BE266" w:rsidRDefault="006E50A3" w14:paraId="19C905FC" w14:noSpellErr="1" w14:textId="319E8FAE">
      <w:pPr>
        <w:rPr>
          <w:rFonts w:cs="Calibri" w:cstheme="minorAscii"/>
        </w:rPr>
      </w:pPr>
      <w:r w:rsidRPr="5F8BE266" w:rsidR="006E50A3">
        <w:rPr>
          <w:rFonts w:cs="Calibri" w:cstheme="minorAscii"/>
        </w:rPr>
        <w:t>A standard long term FCFE growth rate of 3.50% is used, while the short-term growth rate comes from historical trends (averages) year over year. The short-term growth rate we calculated was 0.39%. The Cost of equity is dependent on the long-term growth rate and the firm forward P/E ratio. The cost of equity we calculated was 13.81%. The sector forward P/E ratio was pulled from Yardini research.</w:t>
      </w:r>
    </w:p>
    <w:p w:rsidRPr="00E22B2F" w:rsidR="006E50A3" w:rsidP="5F8BE266" w:rsidRDefault="006E50A3" w14:paraId="4FF74F5D" w14:noSpellErr="1" w14:textId="319E8FAE">
      <w:pPr>
        <w:rPr>
          <w:rFonts w:cs="Calibri" w:cstheme="minorAscii"/>
        </w:rPr>
      </w:pPr>
      <w:r w:rsidR="006E50A3">
        <w:drawing>
          <wp:inline wp14:editId="43E4152D" wp14:anchorId="1F420A69">
            <wp:extent cx="6675120" cy="2070999"/>
            <wp:effectExtent l="0" t="0" r="0" b="5715"/>
            <wp:docPr id="45" name="Picture 45" title=""/>
            <wp:cNvGraphicFramePr>
              <a:graphicFrameLocks noChangeAspect="1"/>
            </wp:cNvGraphicFramePr>
            <a:graphic>
              <a:graphicData uri="http://schemas.openxmlformats.org/drawingml/2006/picture">
                <pic:pic>
                  <pic:nvPicPr>
                    <pic:cNvPr id="0" name="Picture 45"/>
                    <pic:cNvPicPr/>
                  </pic:nvPicPr>
                  <pic:blipFill>
                    <a:blip r:embed="R24b785dbe1be4740">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6675120" cy="2070999"/>
                    </a:xfrm>
                    <a:prstGeom prst="rect">
                      <a:avLst/>
                    </a:prstGeom>
                  </pic:spPr>
                </pic:pic>
              </a:graphicData>
            </a:graphic>
          </wp:inline>
        </w:drawing>
      </w:r>
    </w:p>
    <w:p w:rsidRPr="00E22B2F" w:rsidR="006E50A3" w:rsidP="5F8BE266" w:rsidRDefault="006E50A3" w14:paraId="5DAC932D" w14:noSpellErr="1" w14:textId="319E8FAE">
      <w:pPr>
        <w:rPr>
          <w:rFonts w:cs="Calibri" w:cstheme="minorAscii"/>
        </w:rPr>
      </w:pPr>
      <w:r w:rsidR="006E50A3">
        <w:drawing>
          <wp:inline wp14:editId="0C94E8C2" wp14:anchorId="73B25E71">
            <wp:extent cx="5943600" cy="2084705"/>
            <wp:effectExtent l="0" t="0" r="0" b="0"/>
            <wp:docPr id="46" name="Picture 46" title=""/>
            <wp:cNvGraphicFramePr>
              <a:graphicFrameLocks noChangeAspect="1"/>
            </wp:cNvGraphicFramePr>
            <a:graphic>
              <a:graphicData uri="http://schemas.openxmlformats.org/drawingml/2006/picture">
                <pic:pic>
                  <pic:nvPicPr>
                    <pic:cNvPr id="0" name="Picture 46"/>
                    <pic:cNvPicPr/>
                  </pic:nvPicPr>
                  <pic:blipFill>
                    <a:blip r:embed="R7a4b8da66df74ac6">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943600" cy="2084705"/>
                    </a:xfrm>
                    <a:prstGeom prst="rect">
                      <a:avLst/>
                    </a:prstGeom>
                  </pic:spPr>
                </pic:pic>
              </a:graphicData>
            </a:graphic>
          </wp:inline>
        </w:drawing>
      </w:r>
    </w:p>
    <w:p w:rsidRPr="00E22B2F" w:rsidR="006E50A3" w:rsidP="5F8BE266" w:rsidRDefault="006E50A3" w14:paraId="409710DF" w14:noSpellErr="1" w14:textId="319E8FAE">
      <w:pPr>
        <w:rPr>
          <w:rFonts w:cs="Calibri" w:cstheme="minorAscii"/>
          <w:b w:val="1"/>
          <w:bCs w:val="1"/>
        </w:rPr>
      </w:pPr>
      <w:r w:rsidRPr="5F8BE266" w:rsidR="006E50A3">
        <w:rPr>
          <w:rFonts w:cs="Calibri" w:cstheme="minorAscii"/>
          <w:b w:val="1"/>
          <w:bCs w:val="1"/>
        </w:rPr>
        <w:t>Sensitivity Analysis</w:t>
      </w:r>
    </w:p>
    <w:p w:rsidRPr="00E22B2F" w:rsidR="006E50A3" w:rsidP="5F8BE266" w:rsidRDefault="006E50A3" w14:paraId="7E6F0796" w14:noSpellErr="1" w14:textId="319E8FAE">
      <w:pPr>
        <w:rPr>
          <w:rFonts w:cs="Calibri" w:cstheme="minorAscii"/>
          <w:b w:val="1"/>
          <w:bCs w:val="1"/>
        </w:rPr>
      </w:pPr>
      <w:r w:rsidRPr="5F8BE266" w:rsidR="006E50A3">
        <w:rPr>
          <w:rFonts w:cs="Calibri" w:cstheme="minorAscii"/>
        </w:rPr>
        <w:t xml:space="preserve">While we have an idea of what the </w:t>
      </w:r>
      <w:proofErr w:type="gramStart"/>
      <w:r w:rsidRPr="5F8BE266" w:rsidR="006E50A3">
        <w:rPr>
          <w:rFonts w:cs="Calibri" w:cstheme="minorAscii"/>
        </w:rPr>
        <w:t>most likely equity</w:t>
      </w:r>
      <w:proofErr w:type="gramEnd"/>
      <w:r w:rsidRPr="5F8BE266" w:rsidR="006E50A3">
        <w:rPr>
          <w:rFonts w:cs="Calibri" w:cstheme="minorAscii"/>
        </w:rPr>
        <w:t xml:space="preserve"> value, and subsequently, the equity value per share is, we have also sketched out other equity values, and the probabilities of these values. The equity value per share that we believe to be </w:t>
      </w:r>
      <w:proofErr w:type="gramStart"/>
      <w:r w:rsidRPr="5F8BE266" w:rsidR="006E50A3">
        <w:rPr>
          <w:rFonts w:cs="Calibri" w:cstheme="minorAscii"/>
        </w:rPr>
        <w:t>most likely is</w:t>
      </w:r>
      <w:proofErr w:type="gramEnd"/>
      <w:r w:rsidRPr="5F8BE266" w:rsidR="006E50A3">
        <w:rPr>
          <w:rFonts w:cs="Calibri" w:cstheme="minorAscii"/>
        </w:rPr>
        <w:t xml:space="preserve"> $47.87.</w:t>
      </w:r>
    </w:p>
    <w:p w:rsidRPr="00E22B2F" w:rsidR="006E50A3" w:rsidP="5F8BE266" w:rsidRDefault="006E50A3" w14:paraId="0482F7C3" w14:noSpellErr="1" w14:textId="319E8FAE">
      <w:pPr>
        <w:rPr>
          <w:rFonts w:cs="Calibri" w:cstheme="minorAscii"/>
        </w:rPr>
      </w:pPr>
      <w:r w:rsidR="006E50A3">
        <w:drawing>
          <wp:inline wp14:editId="570479DE" wp14:anchorId="0DC2BD4C">
            <wp:extent cx="5943600" cy="1925320"/>
            <wp:effectExtent l="0" t="0" r="0" b="0"/>
            <wp:docPr id="47" name="Picture 47" title=""/>
            <wp:cNvGraphicFramePr>
              <a:graphicFrameLocks noChangeAspect="1"/>
            </wp:cNvGraphicFramePr>
            <a:graphic>
              <a:graphicData uri="http://schemas.openxmlformats.org/drawingml/2006/picture">
                <pic:pic>
                  <pic:nvPicPr>
                    <pic:cNvPr id="0" name="Picture 47"/>
                    <pic:cNvPicPr/>
                  </pic:nvPicPr>
                  <pic:blipFill>
                    <a:blip r:embed="R945c4edfe5b14a6d">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943600" cy="1925320"/>
                    </a:xfrm>
                    <a:prstGeom prst="rect">
                      <a:avLst/>
                    </a:prstGeom>
                  </pic:spPr>
                </pic:pic>
              </a:graphicData>
            </a:graphic>
          </wp:inline>
        </w:drawing>
      </w:r>
    </w:p>
    <w:p w:rsidRPr="00E22B2F" w:rsidR="006E50A3" w:rsidP="5F8BE266" w:rsidRDefault="006E50A3" w14:paraId="2F67A777" w14:noSpellErr="1" w14:textId="319E8FAE">
      <w:pPr>
        <w:rPr>
          <w:rFonts w:cs="Calibri" w:cstheme="minorAscii"/>
          <w:b w:val="1"/>
          <w:bCs w:val="1"/>
        </w:rPr>
      </w:pPr>
      <w:r w:rsidRPr="5F8BE266" w:rsidR="006E50A3">
        <w:rPr>
          <w:rFonts w:cs="Calibri" w:cstheme="minorAscii"/>
          <w:b w:val="1"/>
          <w:bCs w:val="1"/>
        </w:rPr>
        <w:t>Conclusion</w:t>
      </w:r>
    </w:p>
    <w:p w:rsidRPr="00E22B2F" w:rsidR="006E50A3" w:rsidP="5F8BE266" w:rsidRDefault="006E50A3" w14:paraId="36905FD7" w14:noSpellErr="1" w14:textId="319E8FAE">
      <w:pPr>
        <w:rPr>
          <w:rFonts w:cs="Calibri" w:cstheme="minorAscii"/>
        </w:rPr>
      </w:pPr>
      <w:r w:rsidRPr="5F8BE266" w:rsidR="006E50A3">
        <w:rPr>
          <w:rFonts w:cs="Calibri" w:cstheme="minorAscii"/>
        </w:rPr>
        <w:t>Based on the analysis and computations above, we are recommending the fund purchase shares in Genesco. We believe the shares are undervalued by 90.5%, with a equity value per share of $47.87, compared to a market value of $23.03.</w:t>
      </w:r>
    </w:p>
    <w:p w:rsidRPr="00E22B2F" w:rsidR="006E50A3" w:rsidP="5F8BE266" w:rsidRDefault="006E50A3" w14:paraId="5BB98C40" w14:noSpellErr="1" w14:textId="319E8FAE">
      <w:pPr>
        <w:rPr>
          <w:rFonts w:cs="Calibri" w:cstheme="minorAscii"/>
        </w:rPr>
      </w:pPr>
    </w:p>
    <w:p w:rsidRPr="00E22B2F" w:rsidR="006E50A3" w:rsidP="5F8BE266" w:rsidRDefault="006E50A3" w14:paraId="78466896" w14:noSpellErr="1" w14:textId="319E8FAE">
      <w:pPr>
        <w:rPr>
          <w:rFonts w:cs="Calibri" w:cstheme="minorAscii"/>
        </w:rPr>
      </w:pPr>
    </w:p>
    <w:p w:rsidRPr="00E22B2F" w:rsidR="006E50A3" w:rsidP="5F8BE266" w:rsidRDefault="006E50A3" w14:paraId="40272D91" w14:noSpellErr="1" w14:textId="319E8FAE">
      <w:pPr>
        <w:rPr>
          <w:rFonts w:cs="Calibri" w:cstheme="minorAscii"/>
        </w:rPr>
      </w:pPr>
    </w:p>
    <w:p w:rsidRPr="00E22B2F" w:rsidR="006E50A3" w:rsidP="5F8BE266" w:rsidRDefault="006E50A3" w14:paraId="3A0BDCE2" w14:noSpellErr="1" w14:textId="319E8FAE">
      <w:pPr>
        <w:rPr>
          <w:rFonts w:cs="Calibri" w:cstheme="minorAscii"/>
        </w:rPr>
      </w:pPr>
    </w:p>
    <w:p w:rsidRPr="00E22B2F" w:rsidR="006E50A3" w:rsidP="5F8BE266" w:rsidRDefault="006E50A3" w14:paraId="74258F55" w14:noSpellErr="1" w14:textId="319E8FAE">
      <w:pPr>
        <w:rPr>
          <w:rFonts w:cs="Calibri" w:cstheme="minorAscii"/>
        </w:rPr>
      </w:pPr>
    </w:p>
    <w:p w:rsidRPr="00E22B2F" w:rsidR="006E50A3" w:rsidP="5F8BE266" w:rsidRDefault="006E50A3" w14:paraId="5FF8A9C9" w14:noSpellErr="1" w14:textId="319E8FAE">
      <w:pPr>
        <w:rPr>
          <w:rFonts w:cs="Calibri" w:cstheme="minorAscii"/>
        </w:rPr>
      </w:pPr>
    </w:p>
    <w:p w:rsidRPr="00E22B2F" w:rsidR="006E50A3" w:rsidP="5F8BE266" w:rsidRDefault="006E50A3" w14:paraId="6196723D" w14:noSpellErr="1" w14:textId="319E8FAE">
      <w:pPr>
        <w:rPr>
          <w:rFonts w:cs="Calibri" w:cstheme="minorAscii"/>
        </w:rPr>
      </w:pPr>
    </w:p>
    <w:p w:rsidRPr="00E22B2F" w:rsidR="006E50A3" w:rsidP="5F8BE266" w:rsidRDefault="006E50A3" w14:paraId="63A96F6A" w14:noSpellErr="1" w14:textId="319E8FAE">
      <w:pPr>
        <w:rPr>
          <w:rFonts w:cs="Calibri" w:cstheme="minorAscii"/>
        </w:rPr>
      </w:pPr>
    </w:p>
    <w:p w:rsidRPr="00E22B2F" w:rsidR="006E50A3" w:rsidP="5F8BE266" w:rsidRDefault="006E50A3" w14:paraId="76242CDE" w14:noSpellErr="1" w14:textId="319E8FAE">
      <w:pPr>
        <w:rPr>
          <w:rFonts w:cs="Calibri" w:cstheme="minorAscii"/>
        </w:rPr>
      </w:pPr>
    </w:p>
    <w:p w:rsidRPr="00E22B2F" w:rsidR="006E50A3" w:rsidP="5F8BE266" w:rsidRDefault="006E50A3" w14:paraId="64DA280C" w14:noSpellErr="1" w14:textId="319E8FAE">
      <w:pPr>
        <w:rPr>
          <w:rFonts w:cs="Calibri" w:cstheme="minorAscii"/>
        </w:rPr>
      </w:pPr>
    </w:p>
    <w:p w:rsidRPr="00E22B2F" w:rsidR="006E50A3" w:rsidP="5F8BE266" w:rsidRDefault="006E50A3" w14:paraId="203F47AD" w14:noSpellErr="1" w14:textId="319E8FAE">
      <w:pPr>
        <w:rPr>
          <w:rFonts w:cs="Calibri" w:cstheme="minorAscii"/>
        </w:rPr>
      </w:pPr>
    </w:p>
    <w:p w:rsidR="00C67A81" w:rsidRDefault="00C67A81" w14:paraId="5A23ED70" w14:noSpellErr="1" w14:textId="319E8FAE"/>
    <w:sectPr w:rsidR="00C67A81">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trackRevisions w:val="false"/>
  <w:proofState w:spelling="clean" w:grammar="dirty"/>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C0NLC0sDQwNrEwNzZV0lEKTi0uzszPAykwrAUA0zp9viwAAAA="/>
  </w:docVars>
  <w:rsids>
    <w:rsidRoot w:val="666A6446"/>
    <w:rsid w:val="00467985"/>
    <w:rsid w:val="006E50A3"/>
    <w:rsid w:val="009C7EE0"/>
    <w:rsid w:val="00C67A81"/>
    <w:rsid w:val="00D92852"/>
    <w:rsid w:val="32ED49C4"/>
    <w:rsid w:val="5F8BE266"/>
    <w:rsid w:val="666A6446"/>
    <w:rsid w:val="76D82EF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6A6446"/>
  <w15:chartTrackingRefBased/>
  <w15:docId w15:val="{08C03E4E-1481-43B6-A518-C47852DC8B6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fontTable" Target="fontTable.xml" Id="rId1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image" Target="media/image5.png"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image" Target="media/image4.png" Id="rId11" /><Relationship Type="http://schemas.openxmlformats.org/officeDocument/2006/relationships/styles" Target="styles.xml" Id="rId5" /><Relationship Type="http://schemas.openxmlformats.org/officeDocument/2006/relationships/image" Target="media/image3.png" Id="rId10" /><Relationship Type="http://schemas.openxmlformats.org/officeDocument/2006/relationships/theme" Target="theme/theme1.xml" Id="rId19" /><Relationship Type="http://schemas.openxmlformats.org/officeDocument/2006/relationships/numbering" Target="numbering.xml" Id="rId4" /><Relationship Type="http://schemas.openxmlformats.org/officeDocument/2006/relationships/image" Target="media/image2.png" Id="rId9" /><Relationship Type="http://schemas.openxmlformats.org/officeDocument/2006/relationships/image" Target="/media/imageb.png" Id="R9658a5f3beb4434d" /><Relationship Type="http://schemas.openxmlformats.org/officeDocument/2006/relationships/image" Target="/media/imagec.png" Id="R91cb3ef18b8e4743" /><Relationship Type="http://schemas.openxmlformats.org/officeDocument/2006/relationships/image" Target="/media/imaged.png" Id="R24b785dbe1be4740" /><Relationship Type="http://schemas.openxmlformats.org/officeDocument/2006/relationships/image" Target="/media/imagee.png" Id="R7a4b8da66df74ac6" /><Relationship Type="http://schemas.openxmlformats.org/officeDocument/2006/relationships/image" Target="/media/imagef.png" Id="R945c4edfe5b14a6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D597F8CCAC22A44A15B17FDC2F22940" ma:contentTypeVersion="4" ma:contentTypeDescription="Create a new document." ma:contentTypeScope="" ma:versionID="a1580ca301b4181431a53ce84df76c26">
  <xsd:schema xmlns:xsd="http://www.w3.org/2001/XMLSchema" xmlns:xs="http://www.w3.org/2001/XMLSchema" xmlns:p="http://schemas.microsoft.com/office/2006/metadata/properties" xmlns:ns2="36abb409-a4e2-4f01-93e5-51e136a2f211" targetNamespace="http://schemas.microsoft.com/office/2006/metadata/properties" ma:root="true" ma:fieldsID="2b38813b0d9a50e9d226e8b40486e391" ns2:_="">
    <xsd:import namespace="36abb409-a4e2-4f01-93e5-51e136a2f21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6abb409-a4e2-4f01-93e5-51e136a2f21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F0DEA38-D144-43C7-8838-F6D713CA9AA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6abb409-a4e2-4f01-93e5-51e136a2f21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CCAD7EB-6066-49FC-9945-348ECC07DA12}">
  <ds:schemaRefs>
    <ds:schemaRef ds:uri="http://schemas.microsoft.com/office/infopath/2007/PartnerControls"/>
    <ds:schemaRef ds:uri="http://www.w3.org/XML/1998/namespace"/>
    <ds:schemaRef ds:uri="36abb409-a4e2-4f01-93e5-51e136a2f211"/>
    <ds:schemaRef ds:uri="http://schemas.microsoft.com/office/2006/metadata/properties"/>
    <ds:schemaRef ds:uri="http://purl.org/dc/dcmitype/"/>
    <ds:schemaRef ds:uri="http://schemas.microsoft.com/office/2006/documentManagement/types"/>
    <ds:schemaRef ds:uri="http://purl.org/dc/terms/"/>
    <ds:schemaRef ds:uri="http://schemas.openxmlformats.org/package/2006/metadata/core-properties"/>
    <ds:schemaRef ds:uri="http://purl.org/dc/elements/1.1/"/>
  </ds:schemaRefs>
</ds:datastoreItem>
</file>

<file path=customXml/itemProps3.xml><?xml version="1.0" encoding="utf-8"?>
<ds:datastoreItem xmlns:ds="http://schemas.openxmlformats.org/officeDocument/2006/customXml" ds:itemID="{0E2896FB-47D8-45C3-B7F5-0153315AAA44}">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4</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Carpenter, Daniel B.</dc:creator>
  <keywords/>
  <dc:description/>
  <lastModifiedBy>Carpenter, Daniel B.</lastModifiedBy>
  <revision>3</revision>
  <dcterms:created xsi:type="dcterms:W3CDTF">2020-11-18T18:35:00.0000000Z</dcterms:created>
  <dcterms:modified xsi:type="dcterms:W3CDTF">2020-11-18T16:38:28.1923086Z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0x0101003D597F8CCAC22A44A15B17FDC2F22940</vt:lpwstr>
  </property>
</Properties>
</file>