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68779" w14:textId="77777777" w:rsidR="002B4485" w:rsidRPr="00420DD9" w:rsidRDefault="002B4485" w:rsidP="002B4485">
      <w:pPr>
        <w:rPr>
          <w:rFonts w:ascii="Calibri" w:hAnsi="Calibri" w:cstheme="minorHAnsi"/>
          <w:b/>
          <w:bCs/>
          <w:sz w:val="32"/>
          <w:szCs w:val="32"/>
        </w:rPr>
      </w:pPr>
      <w:r w:rsidRPr="00420DD9">
        <w:rPr>
          <w:rFonts w:ascii="Calibri" w:hAnsi="Calibri" w:cstheme="minorHAnsi"/>
          <w:b/>
          <w:bCs/>
          <w:sz w:val="32"/>
          <w:szCs w:val="32"/>
        </w:rPr>
        <w:t>ANALISIS ESTRATEGIDO DEL NEGOCIO</w:t>
      </w:r>
    </w:p>
    <w:p w14:paraId="06D7D9B1" w14:textId="1B4417CB" w:rsidR="002B4485" w:rsidRPr="00420DD9" w:rsidRDefault="002B4485" w:rsidP="002B4485">
      <w:pPr>
        <w:rPr>
          <w:rFonts w:ascii="Calibri" w:hAnsi="Calibri" w:cstheme="minorHAnsi"/>
          <w:b/>
          <w:bCs/>
          <w:sz w:val="30"/>
          <w:szCs w:val="30"/>
        </w:rPr>
      </w:pPr>
      <w:r w:rsidRPr="00420DD9">
        <w:rPr>
          <w:rFonts w:ascii="Calibri" w:hAnsi="Calibri" w:cstheme="minorHAnsi"/>
          <w:b/>
          <w:bCs/>
          <w:sz w:val="30"/>
          <w:szCs w:val="30"/>
        </w:rPr>
        <w:t>Informe para Administración de Negocio</w:t>
      </w:r>
    </w:p>
    <w:p w14:paraId="1FD9E700" w14:textId="054340B3" w:rsidR="00AE59FE" w:rsidRPr="00420DD9" w:rsidRDefault="002B4485">
      <w:pPr>
        <w:rPr>
          <w:rFonts w:ascii="Calibri" w:hAnsi="Calibri" w:cstheme="minorHAnsi"/>
        </w:rPr>
      </w:pPr>
      <w:r w:rsidRPr="00420DD9">
        <w:rPr>
          <w:rFonts w:ascii="Calibri" w:hAnsi="Calibr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AFFEC0" wp14:editId="31CCD46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86475" cy="2857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64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C386C6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79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" strokecolor="#a5a5a5 [3206]" strokeweight="1.5pt">
                <v:stroke joinstyle="miter"/>
              </v:line>
            </w:pict>
          </mc:Fallback>
        </mc:AlternateContent>
      </w:r>
    </w:p>
    <w:p w14:paraId="7D2BC514" w14:textId="20F9855A" w:rsidR="00420DD9" w:rsidRPr="00420DD9" w:rsidRDefault="00420DD9" w:rsidP="00420DD9">
      <w:pPr>
        <w:pStyle w:val="NormalWeb"/>
        <w:numPr>
          <w:ilvl w:val="0"/>
          <w:numId w:val="7"/>
        </w:numPr>
        <w:ind w:left="360"/>
        <w:jc w:val="both"/>
        <w:rPr>
          <w:rFonts w:ascii="Calibri" w:hAnsi="Calibri"/>
        </w:rPr>
      </w:pPr>
      <w:r w:rsidRPr="00420DD9">
        <w:rPr>
          <w:rFonts w:ascii="Calibri" w:hAnsi="Calibri"/>
        </w:rPr>
        <w:t>Categoría con mayor generación de ingresos y comparación con el volumen de ventas.</w:t>
      </w:r>
    </w:p>
    <w:p w14:paraId="13349DCF" w14:textId="5F6735C2" w:rsidR="00420DD9" w:rsidRPr="00420DD9" w:rsidRDefault="00420DD9" w:rsidP="00420DD9">
      <w:pPr>
        <w:pStyle w:val="NormalWeb"/>
        <w:numPr>
          <w:ilvl w:val="1"/>
          <w:numId w:val="6"/>
        </w:numPr>
        <w:ind w:left="1080"/>
        <w:jc w:val="both"/>
        <w:rPr>
          <w:rFonts w:ascii="Calibri" w:hAnsi="Calibri"/>
        </w:rPr>
      </w:pPr>
      <w:r w:rsidRPr="00420DD9">
        <w:rPr>
          <w:rFonts w:ascii="Calibri" w:hAnsi="Calibri"/>
        </w:rPr>
        <w:t>La categoría con más ingresos registrados hasta el momento es Electrónica, con un total de $128.378.110, lo que representa el 40,22 % de los ingresos del conjunto de datos por categoría. Asimismo, es la categoría con la mayor cantidad de ventas, registrando un total de 543.</w:t>
      </w:r>
    </w:p>
    <w:p w14:paraId="6496C652" w14:textId="749A9D06" w:rsidR="00420DD9" w:rsidRPr="00420DD9" w:rsidRDefault="00420DD9" w:rsidP="00420DD9">
      <w:pPr>
        <w:pStyle w:val="NormalWeb"/>
        <w:numPr>
          <w:ilvl w:val="0"/>
          <w:numId w:val="7"/>
        </w:numPr>
        <w:ind w:left="360"/>
        <w:jc w:val="both"/>
        <w:rPr>
          <w:rFonts w:ascii="Calibri" w:hAnsi="Calibri"/>
        </w:rPr>
      </w:pPr>
      <w:r w:rsidRPr="00420DD9">
        <w:rPr>
          <w:rFonts w:ascii="Calibri" w:hAnsi="Calibri"/>
        </w:rPr>
        <w:t>Priorización de ciudades para una campaña de marketing considerando ingresos y cantidad de clientes.</w:t>
      </w:r>
    </w:p>
    <w:p w14:paraId="07431381" w14:textId="6A86DDFF" w:rsidR="00420DD9" w:rsidRPr="00420DD9" w:rsidRDefault="00420DD9" w:rsidP="00420DD9">
      <w:pPr>
        <w:pStyle w:val="NormalWeb"/>
        <w:numPr>
          <w:ilvl w:val="1"/>
          <w:numId w:val="6"/>
        </w:numPr>
        <w:ind w:left="1080"/>
        <w:jc w:val="both"/>
        <w:rPr>
          <w:rFonts w:ascii="Calibri" w:hAnsi="Calibri"/>
        </w:rPr>
      </w:pPr>
      <w:r w:rsidRPr="00420DD9">
        <w:rPr>
          <w:rFonts w:ascii="Calibri" w:hAnsi="Calibri"/>
        </w:rPr>
        <w:t>Se recomienda priorizar una campaña de marketing en la ciudad de Cali, la cual registra ingresos por $21.717.755 y un total de 5 clientes. No obstante, también se propone considerar la ciudad de Bucaramanga, que presenta ingresos por $36.450.380 y un total de 6 clientes. La implementación de estas campañas busca incrementar la popularidad y los ingresos de la empresa en las ciudades con menor nivel de consumo y presencia comercial.</w:t>
      </w:r>
    </w:p>
    <w:p w14:paraId="334FFBEE" w14:textId="52FF725A" w:rsidR="00420DD9" w:rsidRPr="00420DD9" w:rsidRDefault="00420DD9" w:rsidP="00420DD9">
      <w:pPr>
        <w:pStyle w:val="NormalWeb"/>
        <w:numPr>
          <w:ilvl w:val="0"/>
          <w:numId w:val="7"/>
        </w:numPr>
        <w:ind w:left="360"/>
        <w:jc w:val="both"/>
        <w:rPr>
          <w:rFonts w:ascii="Calibri" w:hAnsi="Calibri"/>
        </w:rPr>
      </w:pPr>
      <w:r w:rsidRPr="00420DD9">
        <w:rPr>
          <w:rFonts w:ascii="Calibri" w:hAnsi="Calibri"/>
        </w:rPr>
        <w:t>Análisis del ingreso por cliente en el segmento Premium frente a los demás segmentos.</w:t>
      </w:r>
    </w:p>
    <w:p w14:paraId="1E80988E" w14:textId="2CD2C40F" w:rsidR="00420DD9" w:rsidRPr="00420DD9" w:rsidRDefault="00420DD9" w:rsidP="00420DD9">
      <w:pPr>
        <w:pStyle w:val="NormalWeb"/>
        <w:numPr>
          <w:ilvl w:val="1"/>
          <w:numId w:val="6"/>
        </w:numPr>
        <w:ind w:left="1080"/>
        <w:jc w:val="both"/>
        <w:rPr>
          <w:rFonts w:ascii="Calibri" w:hAnsi="Calibri"/>
        </w:rPr>
      </w:pPr>
      <w:r w:rsidRPr="00420DD9">
        <w:rPr>
          <w:rFonts w:ascii="Calibri" w:hAnsi="Calibri"/>
        </w:rPr>
        <w:t>Con base en el análisis realizado, el segmento estándar es el que presenta los mayores ingresos estimados, ya que registra el ticket promedio más alto (901.342,64) y concentra la mayor cantidad de clientes (31), superando a los segmentos Premium y Básico.</w:t>
      </w:r>
    </w:p>
    <w:p w14:paraId="466930D0" w14:textId="2CB8335D" w:rsidR="00420DD9" w:rsidRPr="00420DD9" w:rsidRDefault="00420DD9" w:rsidP="00420DD9">
      <w:pPr>
        <w:pStyle w:val="NormalWeb"/>
        <w:numPr>
          <w:ilvl w:val="0"/>
          <w:numId w:val="7"/>
        </w:numPr>
        <w:ind w:left="360"/>
        <w:jc w:val="both"/>
        <w:rPr>
          <w:rFonts w:ascii="Calibri" w:hAnsi="Calibri"/>
        </w:rPr>
      </w:pPr>
      <w:r w:rsidRPr="00420DD9">
        <w:rPr>
          <w:rFonts w:ascii="Calibri" w:hAnsi="Calibri"/>
        </w:rPr>
        <w:t>Limitaciones del análisis y datos adicionales requeridos al equipo de ventas.</w:t>
      </w:r>
    </w:p>
    <w:p w14:paraId="1127B859" w14:textId="3175848F" w:rsidR="00420DD9" w:rsidRPr="0009559D" w:rsidRDefault="0009559D" w:rsidP="0009559D">
      <w:pPr>
        <w:pStyle w:val="NormalWeb"/>
        <w:numPr>
          <w:ilvl w:val="1"/>
          <w:numId w:val="6"/>
        </w:numPr>
        <w:ind w:left="1080"/>
        <w:jc w:val="both"/>
        <w:rPr>
          <w:rFonts w:asciiTheme="minorHAnsi" w:hAnsiTheme="minorHAnsi" w:cstheme="minorHAnsi"/>
        </w:rPr>
      </w:pPr>
      <w:r w:rsidRPr="0009559D">
        <w:rPr>
          <w:rFonts w:asciiTheme="minorHAnsi" w:hAnsiTheme="minorHAnsi" w:cstheme="minorHAnsi"/>
        </w:rPr>
        <w:t>El segmento Estándar tiene el ticket promedio más alto</w:t>
      </w:r>
      <w:r>
        <w:rPr>
          <w:rFonts w:asciiTheme="minorHAnsi" w:hAnsiTheme="minorHAnsi" w:cstheme="minorHAnsi"/>
        </w:rPr>
        <w:t xml:space="preserve">, </w:t>
      </w:r>
      <w:r w:rsidRPr="0009559D">
        <w:rPr>
          <w:rFonts w:asciiTheme="minorHAnsi" w:hAnsiTheme="minorHAnsi" w:cstheme="minorHAnsi"/>
        </w:rPr>
        <w:t>lo cual es contraintuitivo para un segmento Premium. Esto podría explicarse por el tamaño del dataset sintético (solo 13 clientes Premium) o por patrones de compra distintos</w:t>
      </w:r>
      <w:r>
        <w:rPr>
          <w:rFonts w:asciiTheme="minorHAnsi" w:hAnsiTheme="minorHAnsi" w:cstheme="minorHAnsi"/>
        </w:rPr>
        <w:t>.</w:t>
      </w:r>
    </w:p>
    <w:sectPr w:rsidR="00420DD9" w:rsidRPr="000955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B6590"/>
    <w:multiLevelType w:val="hybridMultilevel"/>
    <w:tmpl w:val="3BC439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E4D17"/>
    <w:multiLevelType w:val="hybridMultilevel"/>
    <w:tmpl w:val="E490103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D2DFE"/>
    <w:multiLevelType w:val="hybridMultilevel"/>
    <w:tmpl w:val="2B0CB6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645D2">
      <w:start w:val="1"/>
      <w:numFmt w:val="bullet"/>
      <w:lvlText w:val="•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04C05"/>
    <w:multiLevelType w:val="hybridMultilevel"/>
    <w:tmpl w:val="64EE9A2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06106"/>
    <w:multiLevelType w:val="hybridMultilevel"/>
    <w:tmpl w:val="77AECD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15045"/>
    <w:multiLevelType w:val="hybridMultilevel"/>
    <w:tmpl w:val="F20412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B32664"/>
    <w:multiLevelType w:val="hybridMultilevel"/>
    <w:tmpl w:val="16D2FB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1B"/>
    <w:rsid w:val="0009559D"/>
    <w:rsid w:val="002B4485"/>
    <w:rsid w:val="00420DD9"/>
    <w:rsid w:val="0048016A"/>
    <w:rsid w:val="005750C1"/>
    <w:rsid w:val="00583704"/>
    <w:rsid w:val="007A0EE6"/>
    <w:rsid w:val="008269F2"/>
    <w:rsid w:val="008963EC"/>
    <w:rsid w:val="00AE59FE"/>
    <w:rsid w:val="00B3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2CBB1"/>
  <w15:chartTrackingRefBased/>
  <w15:docId w15:val="{B592665A-D04E-4F7D-9ADB-6F99C4217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48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448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20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EED06-F35F-4E84-A4EA-C4844AD13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249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</dc:creator>
  <cp:keywords/>
  <dc:description/>
  <cp:lastModifiedBy>Daniel Eduardo</cp:lastModifiedBy>
  <cp:revision>5</cp:revision>
  <dcterms:created xsi:type="dcterms:W3CDTF">2026-07-01T20:10:00Z</dcterms:created>
  <dcterms:modified xsi:type="dcterms:W3CDTF">2026-07-01T21:41:00Z</dcterms:modified>
</cp:coreProperties>
</file>