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ALYNDRA</w:t>
      </w:r>
    </w:p>
    <w:p>
      <w:pPr>
        <w:spacing w:before="200"/>
        <w:jc w:val="center"/>
      </w:pPr>
      <w:r>
        <w:rPr>
          <w:color w:val="2B2B2B"/>
          <w:sz w:val="32"/>
          <w:szCs w:val="32"/>
        </w:rPr>
        <w:t xml:space="preserve">Glossário Oficial do Universo</w:t>
      </w:r>
    </w:p>
    <w:p>
      <w:pPr>
        <w:spacing w:before="600"/>
        <w:jc w:val="center"/>
      </w:pPr>
      <w:r>
        <w:rPr>
          <w:color w:val="9AA6B2"/>
        </w:rPr>
        <w:t xml:space="preserve">━━━━━━━━━━━━━━━━━━━━━━━━━━━━━━</w:t>
      </w:r>
    </w:p>
    <w:p>
      <w:pPr>
        <w:spacing w:before="200"/>
        <w:jc w:val="center"/>
      </w:pPr>
      <w:r>
        <w:rPr>
          <w:i/>
          <w:iCs/>
          <w:color w:val="2B2B2B"/>
          <w:sz w:val="22"/>
          <w:szCs w:val="22"/>
        </w:rPr>
        <w:t xml:space="preserve">Definições, Terminologia e Conceitos Fundamentais</w:t>
      </w:r>
    </w:p>
    <w:p>
      <w:pPr>
        <w:spacing w:before="400"/>
        <w:jc w:val="center"/>
      </w:pPr>
      <w:r>
        <w:rPr>
          <w:color w:val="9AA6B2"/>
          <w:sz w:val="20"/>
          <w:szCs w:val="20"/>
        </w:rPr>
        <w:t xml:space="preserve">Documento de Referência — Versão 2.0</w:t>
      </w:r>
    </w:p>
    <w:p>
      <w:pPr>
        <w:pStyle w:val="Quote"/>
        <w:spacing w:before="800"/>
      </w:pPr>
      <w:r>
        <w:t xml:space="preserve">"Conhecer o nome é o primeiro passo para conhecer a essência."</w:t>
      </w:r>
    </w:p>
    <w:p>
      <w:r>
        <w:br w:type="page"/>
      </w:r>
    </w:p>
    <w:p>
      <w:pPr>
        <w:pStyle w:val="Heading1"/>
      </w:pPr>
      <w:r>
        <w:t xml:space="preserve">AETHRA</w:t>
      </w:r>
    </w:p>
    <w:p>
      <w:pPr>
        <w:pStyle w:val="Heading2"/>
      </w:pPr>
      <w:r>
        <w:t xml:space="preserve">Definição Fundamental</w:t>
      </w:r>
    </w:p>
    <w:p>
      <w:pPr>
        <w:spacing w:after="200"/>
      </w:pPr>
      <w:r>
        <w:t xml:space="preserve">Aethra é a energia vital espiritual, a manifestação física da alma e da essência de vida de todo ser vivo. É ao mesmo tempo o combustível que move as técnicas espirituais e a própria expressão material da existência consciente. Diferente de energia física ou mera força vital, o Aethra carrega consigo a identidade, memórias e natureza profunda do indivíduo — danificar o Aethra é danificar a própria alma.</w:t>
      </w:r>
    </w:p>
    <w:p>
      <w:pPr>
        <w:spacing w:after="200"/>
      </w:pPr>
      <w:r>
        <w:t xml:space="preserve">O Aethra flui de Yggorath, a Árvore Primordial, que canaliza o potencial infinito do Vazio Primordial para todos os planos da existência. Cada ser vivo recebe sua porção de Aethra no momento de sua concepção, e esta energia espiritual o acompanha até a morte — ou transcendência. Todo ser vivo possui Aethra em diferentes escalas e intensidades, desde as menores criaturas até as entidades divinas.</w:t>
      </w:r>
    </w:p>
    <w:p>
      <w:pPr>
        <w:pStyle w:val="Heading2"/>
      </w:pPr>
      <w:r>
        <w:t xml:space="preserve">Unidade de Medida: Æ (Aether)</w:t>
      </w:r>
    </w:p>
    <w:p>
      <w:pPr>
        <w:spacing w:after="200"/>
      </w:pPr>
      <w:r>
        <w:t xml:space="preserve">A unidade </w:t>
      </w:r>
      <w:r>
        <w:rPr>
          <w:b/>
          <w:bCs/>
        </w:rPr>
        <w:t xml:space="preserve">Æ</w:t>
      </w:r>
      <w:r>
        <w:t xml:space="preserve"> (lê-se "aether") é o padrão métrico para quantificação de Aethra, estabelecida pelos antigos Aetheri e refinada através de milênios. A medição considera tanto a </w:t>
      </w:r>
      <w:r>
        <w:rPr>
          <w:b/>
          <w:bCs/>
        </w:rPr>
        <w:t xml:space="preserve">quantidade</w:t>
      </w:r>
      <w:r>
        <w:t xml:space="preserve"> de energia quanto sua </w:t>
      </w:r>
      <w:r>
        <w:rPr>
          <w:b/>
          <w:bCs/>
        </w:rPr>
        <w:t xml:space="preserve">qualidade</w:t>
      </w:r>
      <w:r>
        <w:t xml:space="preserve"> e </w:t>
      </w:r>
      <w:r>
        <w:rPr>
          <w:b/>
          <w:bCs/>
        </w:rPr>
        <w:t xml:space="preserve">pureza</w:t>
      </w:r>
      <w:r>
        <w:t xml:space="preserve">. Tecnologias como o Aethrímetro permitem medição precisa em tempo real.</w:t>
      </w:r>
    </w:p>
    <w:p>
      <w:pPr>
        <w:pStyle w:val="Heading2"/>
      </w:pPr>
      <w:r>
        <w:t xml:space="preserve">Os Oito Estágios do Despertar</w:t>
      </w:r>
    </w:p>
    <w:p>
      <w:pPr>
        <w:spacing w:after="200"/>
      </w:pPr>
      <w:r>
        <w:t xml:space="preserve">A hierarquia espiritual não é meramente uma classificação de poder — representa os estágios de despertar da consciência e profundidade de conexão com a estrutura do universo. Cada estágio representa uma transformação fundamental na natureza do 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860"/>
      </w:tblGrid>
      <w:tr>
        <w:trPr>
          <w:tblHeader/>
        </w:trPr>
        <w:tc>
          <w:tcPr>
            <w:tcW w:type="dxa" w:w="1200"/>
            <w:tcBorders>
              <w:top w:val="single" w:color="9AA6B2" w:sz="1"/>
              <w:left w:val="none"/>
              <w:bottom w:val="single" w:color="9AA6B2" w:sz="1"/>
              <w:right w:val="none"/>
            </w:tcBorders>
            <w:shd w:fill="F1F5F9" w:val="clear"/>
            <w:vAlign w:val="center"/>
          </w:tcPr>
          <w:p>
            <w:pPr>
              <w:jc w:val="center"/>
            </w:pPr>
            <w:r>
              <w:rPr>
                <w:b/>
                <w:bCs/>
                <w:sz w:val="20"/>
                <w:szCs w:val="20"/>
              </w:rPr>
              <w:t xml:space="preserve">Estágio</w:t>
            </w:r>
          </w:p>
        </w:tc>
        <w:tc>
          <w:tcPr>
            <w:tcW w:type="dxa" w:w="1500"/>
            <w:tcBorders>
              <w:top w:val="single" w:color="9AA6B2" w:sz="1"/>
              <w:left w:val="none"/>
              <w:bottom w:val="single" w:color="9AA6B2" w:sz="1"/>
              <w:right w:val="none"/>
            </w:tcBorders>
            <w:shd w:fill="F1F5F9" w:val="clear"/>
            <w:vAlign w:val="center"/>
          </w:tcPr>
          <w:p>
            <w:pPr>
              <w:jc w:val="center"/>
            </w:pPr>
            <w:r>
              <w:rPr>
                <w:b/>
                <w:bCs/>
                <w:sz w:val="20"/>
                <w:szCs w:val="20"/>
              </w:rPr>
              <w:t xml:space="preserve">Faixa de Æ</w:t>
            </w:r>
          </w:p>
        </w:tc>
        <w:tc>
          <w:tcPr>
            <w:tcW w:type="dxa" w:w="1800"/>
            <w:tcBorders>
              <w:top w:val="single" w:color="9AA6B2" w:sz="1"/>
              <w:left w:val="none"/>
              <w:bottom w:val="single" w:color="9AA6B2" w:sz="1"/>
              <w:right w:val="none"/>
            </w:tcBorders>
            <w:shd w:fill="F1F5F9" w:val="clear"/>
            <w:vAlign w:val="center"/>
          </w:tcPr>
          <w:p>
            <w:pPr>
              <w:jc w:val="center"/>
            </w:pPr>
            <w:r>
              <w:rPr>
                <w:b/>
                <w:bCs/>
                <w:sz w:val="20"/>
                <w:szCs w:val="20"/>
              </w:rPr>
              <w:t xml:space="preserve">Nome</w:t>
            </w:r>
          </w:p>
        </w:tc>
        <w:tc>
          <w:tcPr>
            <w:tcW w:type="dxa" w:w="4860"/>
            <w:tcBorders>
              <w:top w:val="single" w:color="9AA6B2" w:sz="1"/>
              <w:left w:val="none"/>
              <w:bottom w:val="single" w:color="9AA6B2" w:sz="1"/>
              <w:right w:val="none"/>
            </w:tcBorders>
            <w:shd w:fill="F1F5F9" w:val="clear"/>
            <w:vAlign w:val="center"/>
          </w:tcPr>
          <w:p>
            <w:pPr>
              <w:jc w:val="center"/>
            </w:pPr>
            <w:r>
              <w:rPr>
                <w:b/>
                <w:bCs/>
                <w:sz w:val="20"/>
                <w:szCs w:val="20"/>
              </w:rPr>
              <w:t xml:space="preserve">Significado Místico</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I</w:t>
            </w:r>
          </w:p>
        </w:tc>
        <w:tc>
          <w:tcPr>
            <w:tcW w:type="dxa" w:w="1500"/>
            <w:tcBorders>
              <w:top w:val="single" w:color="9AA6B2" w:sz="1"/>
              <w:left w:val="none"/>
              <w:bottom w:val="single" w:color="9AA6B2" w:sz="1"/>
              <w:right w:val="none"/>
            </w:tcBorders>
            <w:vAlign w:val="center"/>
          </w:tcPr>
          <w:p>
            <w:pPr>
              <w:jc w:val="center"/>
            </w:pPr>
            <w:r>
              <w:rPr>
                <w:sz w:val="20"/>
                <w:szCs w:val="20"/>
              </w:rPr>
              <w:t xml:space="preserve">0 - 50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Latente</w:t>
            </w:r>
          </w:p>
        </w:tc>
        <w:tc>
          <w:tcPr>
            <w:tcW w:type="dxa" w:w="4860"/>
            <w:tcBorders>
              <w:top w:val="single" w:color="9AA6B2" w:sz="1"/>
              <w:left w:val="none"/>
              <w:bottom w:val="single" w:color="9AA6B2" w:sz="1"/>
              <w:right w:val="none"/>
            </w:tcBorders>
            <w:vAlign w:val="center"/>
          </w:tcPr>
          <w:p>
            <w:r>
              <w:rPr>
                <w:sz w:val="20"/>
                <w:szCs w:val="20"/>
              </w:rPr>
              <w:t xml:space="preserve">A alma existe mas permanece adormecida</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II</w:t>
            </w:r>
          </w:p>
        </w:tc>
        <w:tc>
          <w:tcPr>
            <w:tcW w:type="dxa" w:w="1500"/>
            <w:tcBorders>
              <w:top w:val="single" w:color="9AA6B2" w:sz="1"/>
              <w:left w:val="none"/>
              <w:bottom w:val="single" w:color="9AA6B2" w:sz="1"/>
              <w:right w:val="none"/>
            </w:tcBorders>
            <w:vAlign w:val="center"/>
          </w:tcPr>
          <w:p>
            <w:pPr>
              <w:jc w:val="center"/>
            </w:pPr>
            <w:r>
              <w:rPr>
                <w:sz w:val="20"/>
                <w:szCs w:val="20"/>
              </w:rPr>
              <w:t xml:space="preserve">50 - 200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Despertante</w:t>
            </w:r>
          </w:p>
        </w:tc>
        <w:tc>
          <w:tcPr>
            <w:tcW w:type="dxa" w:w="4860"/>
            <w:tcBorders>
              <w:top w:val="single" w:color="9AA6B2" w:sz="1"/>
              <w:left w:val="none"/>
              <w:bottom w:val="single" w:color="9AA6B2" w:sz="1"/>
              <w:right w:val="none"/>
            </w:tcBorders>
            <w:vAlign w:val="center"/>
          </w:tcPr>
          <w:p>
            <w:r>
              <w:rPr>
                <w:sz w:val="20"/>
                <w:szCs w:val="20"/>
              </w:rPr>
              <w:t xml:space="preserve">Primeira centelha de consciência espiritual</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III</w:t>
            </w:r>
          </w:p>
        </w:tc>
        <w:tc>
          <w:tcPr>
            <w:tcW w:type="dxa" w:w="1500"/>
            <w:tcBorders>
              <w:top w:val="single" w:color="9AA6B2" w:sz="1"/>
              <w:left w:val="none"/>
              <w:bottom w:val="single" w:color="9AA6B2" w:sz="1"/>
              <w:right w:val="none"/>
            </w:tcBorders>
            <w:vAlign w:val="center"/>
          </w:tcPr>
          <w:p>
            <w:pPr>
              <w:jc w:val="center"/>
            </w:pPr>
            <w:r>
              <w:rPr>
                <w:sz w:val="20"/>
                <w:szCs w:val="20"/>
              </w:rPr>
              <w:t xml:space="preserve">200 - 500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Convergente</w:t>
            </w:r>
          </w:p>
        </w:tc>
        <w:tc>
          <w:tcPr>
            <w:tcW w:type="dxa" w:w="4860"/>
            <w:tcBorders>
              <w:top w:val="single" w:color="9AA6B2" w:sz="1"/>
              <w:left w:val="none"/>
              <w:bottom w:val="single" w:color="9AA6B2" w:sz="1"/>
              <w:right w:val="none"/>
            </w:tcBorders>
            <w:vAlign w:val="center"/>
          </w:tcPr>
          <w:p>
            <w:r>
              <w:rPr>
                <w:sz w:val="20"/>
                <w:szCs w:val="20"/>
              </w:rPr>
              <w:t xml:space="preserve">Aethra converge para centros energéticos</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IV</w:t>
            </w:r>
          </w:p>
        </w:tc>
        <w:tc>
          <w:tcPr>
            <w:tcW w:type="dxa" w:w="1500"/>
            <w:tcBorders>
              <w:top w:val="single" w:color="9AA6B2" w:sz="1"/>
              <w:left w:val="none"/>
              <w:bottom w:val="single" w:color="9AA6B2" w:sz="1"/>
              <w:right w:val="none"/>
            </w:tcBorders>
            <w:vAlign w:val="center"/>
          </w:tcPr>
          <w:p>
            <w:pPr>
              <w:jc w:val="center"/>
            </w:pPr>
            <w:r>
              <w:rPr>
                <w:sz w:val="20"/>
                <w:szCs w:val="20"/>
              </w:rPr>
              <w:t xml:space="preserve">500 - 1.000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Cultivador</w:t>
            </w:r>
          </w:p>
        </w:tc>
        <w:tc>
          <w:tcPr>
            <w:tcW w:type="dxa" w:w="4860"/>
            <w:tcBorders>
              <w:top w:val="single" w:color="9AA6B2" w:sz="1"/>
              <w:left w:val="none"/>
              <w:bottom w:val="single" w:color="9AA6B2" w:sz="1"/>
              <w:right w:val="none"/>
            </w:tcBorders>
            <w:vAlign w:val="center"/>
          </w:tcPr>
          <w:p>
            <w:r>
              <w:rPr>
                <w:sz w:val="20"/>
                <w:szCs w:val="20"/>
              </w:rPr>
              <w:t xml:space="preserve">Treinamento formal, técnicas podem ser aprendidas</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V</w:t>
            </w:r>
          </w:p>
        </w:tc>
        <w:tc>
          <w:tcPr>
            <w:tcW w:type="dxa" w:w="1500"/>
            <w:tcBorders>
              <w:top w:val="single" w:color="9AA6B2" w:sz="1"/>
              <w:left w:val="none"/>
              <w:bottom w:val="single" w:color="9AA6B2" w:sz="1"/>
              <w:right w:val="none"/>
            </w:tcBorders>
            <w:vAlign w:val="center"/>
          </w:tcPr>
          <w:p>
            <w:pPr>
              <w:jc w:val="center"/>
            </w:pPr>
            <w:r>
              <w:rPr>
                <w:sz w:val="20"/>
                <w:szCs w:val="20"/>
              </w:rPr>
              <w:t xml:space="preserve">1.000 - 5.000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Transcendente</w:t>
            </w:r>
          </w:p>
        </w:tc>
        <w:tc>
          <w:tcPr>
            <w:tcW w:type="dxa" w:w="4860"/>
            <w:tcBorders>
              <w:top w:val="single" w:color="9AA6B2" w:sz="1"/>
              <w:left w:val="none"/>
              <w:bottom w:val="single" w:color="9AA6B2" w:sz="1"/>
              <w:right w:val="none"/>
            </w:tcBorders>
            <w:vAlign w:val="center"/>
          </w:tcPr>
          <w:p>
            <w:r>
              <w:rPr>
                <w:sz w:val="20"/>
                <w:szCs w:val="20"/>
              </w:rPr>
              <w:t xml:space="preserve">Aethra transcende limitações físicas</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VI</w:t>
            </w:r>
          </w:p>
        </w:tc>
        <w:tc>
          <w:tcPr>
            <w:tcW w:type="dxa" w:w="1500"/>
            <w:tcBorders>
              <w:top w:val="single" w:color="9AA6B2" w:sz="1"/>
              <w:left w:val="none"/>
              <w:bottom w:val="single" w:color="9AA6B2" w:sz="1"/>
              <w:right w:val="none"/>
            </w:tcBorders>
            <w:vAlign w:val="center"/>
          </w:tcPr>
          <w:p>
            <w:pPr>
              <w:jc w:val="center"/>
            </w:pPr>
            <w:r>
              <w:rPr>
                <w:sz w:val="20"/>
                <w:szCs w:val="20"/>
              </w:rPr>
              <w:t xml:space="preserve">5.000 - 50.000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Luminar</w:t>
            </w:r>
          </w:p>
        </w:tc>
        <w:tc>
          <w:tcPr>
            <w:tcW w:type="dxa" w:w="4860"/>
            <w:tcBorders>
              <w:top w:val="single" w:color="9AA6B2" w:sz="1"/>
              <w:left w:val="none"/>
              <w:bottom w:val="single" w:color="9AA6B2" w:sz="1"/>
              <w:right w:val="none"/>
            </w:tcBorders>
            <w:vAlign w:val="center"/>
          </w:tcPr>
          <w:p>
            <w:r>
              <w:rPr>
                <w:sz w:val="20"/>
                <w:szCs w:val="20"/>
              </w:rPr>
              <w:t xml:space="preserve">"Pequeno sol" espiritual, irradia Aethra</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VII</w:t>
            </w:r>
          </w:p>
        </w:tc>
        <w:tc>
          <w:tcPr>
            <w:tcW w:type="dxa" w:w="1500"/>
            <w:tcBorders>
              <w:top w:val="single" w:color="9AA6B2" w:sz="1"/>
              <w:left w:val="none"/>
              <w:bottom w:val="single" w:color="9AA6B2" w:sz="1"/>
              <w:right w:val="none"/>
            </w:tcBorders>
            <w:vAlign w:val="center"/>
          </w:tcPr>
          <w:p>
            <w:pPr>
              <w:jc w:val="center"/>
            </w:pPr>
            <w:r>
              <w:rPr>
                <w:sz w:val="20"/>
                <w:szCs w:val="20"/>
              </w:rPr>
              <w:t xml:space="preserve">50.000 - 500.000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Primordial</w:t>
            </w:r>
          </w:p>
        </w:tc>
        <w:tc>
          <w:tcPr>
            <w:tcW w:type="dxa" w:w="4860"/>
            <w:tcBorders>
              <w:top w:val="single" w:color="9AA6B2" w:sz="1"/>
              <w:left w:val="none"/>
              <w:bottom w:val="single" w:color="9AA6B2" w:sz="1"/>
              <w:right w:val="none"/>
            </w:tcBorders>
            <w:vAlign w:val="center"/>
          </w:tcPr>
          <w:p>
            <w:r>
              <w:rPr>
                <w:sz w:val="20"/>
                <w:szCs w:val="20"/>
              </w:rPr>
              <w:t xml:space="preserve">Conexão direta com forças primordiais</w:t>
            </w:r>
          </w:p>
        </w:tc>
      </w:tr>
      <w:tr>
        <w:tc>
          <w:tcPr>
            <w:tcW w:type="dxa" w:w="1200"/>
            <w:tcBorders>
              <w:top w:val="single" w:color="9AA6B2" w:sz="1"/>
              <w:left w:val="none"/>
              <w:bottom w:val="single" w:color="9AA6B2" w:sz="1"/>
              <w:right w:val="none"/>
            </w:tcBorders>
            <w:vAlign w:val="center"/>
          </w:tcPr>
          <w:p>
            <w:pPr>
              <w:jc w:val="center"/>
            </w:pPr>
            <w:r>
              <w:rPr>
                <w:b/>
                <w:bCs/>
                <w:sz w:val="20"/>
                <w:szCs w:val="20"/>
              </w:rPr>
              <w:t xml:space="preserve">VIII</w:t>
            </w:r>
          </w:p>
        </w:tc>
        <w:tc>
          <w:tcPr>
            <w:tcW w:type="dxa" w:w="1500"/>
            <w:tcBorders>
              <w:top w:val="single" w:color="9AA6B2" w:sz="1"/>
              <w:left w:val="none"/>
              <w:bottom w:val="single" w:color="9AA6B2" w:sz="1"/>
              <w:right w:val="none"/>
            </w:tcBorders>
            <w:vAlign w:val="center"/>
          </w:tcPr>
          <w:p>
            <w:pPr>
              <w:jc w:val="center"/>
            </w:pPr>
            <w:r>
              <w:rPr>
                <w:sz w:val="20"/>
                <w:szCs w:val="20"/>
              </w:rPr>
              <w:t xml:space="preserve">500.000+ Æ</w:t>
            </w:r>
          </w:p>
        </w:tc>
        <w:tc>
          <w:tcPr>
            <w:tcW w:type="dxa" w:w="1800"/>
            <w:tcBorders>
              <w:top w:val="single" w:color="9AA6B2" w:sz="1"/>
              <w:left w:val="none"/>
              <w:bottom w:val="single" w:color="9AA6B2" w:sz="1"/>
              <w:right w:val="none"/>
            </w:tcBorders>
            <w:vAlign w:val="center"/>
          </w:tcPr>
          <w:p>
            <w:pPr>
              <w:jc w:val="center"/>
            </w:pPr>
            <w:r>
              <w:rPr>
                <w:sz w:val="20"/>
                <w:szCs w:val="20"/>
              </w:rPr>
              <w:t xml:space="preserve">Divino</w:t>
            </w:r>
          </w:p>
        </w:tc>
        <w:tc>
          <w:tcPr>
            <w:tcW w:type="dxa" w:w="4860"/>
            <w:tcBorders>
              <w:top w:val="single" w:color="9AA6B2" w:sz="1"/>
              <w:left w:val="none"/>
              <w:bottom w:val="single" w:color="9AA6B2" w:sz="1"/>
              <w:right w:val="none"/>
            </w:tcBorders>
            <w:vAlign w:val="center"/>
          </w:tcPr>
          <w:p>
            <w:r>
              <w:rPr>
                <w:sz w:val="20"/>
                <w:szCs w:val="20"/>
              </w:rPr>
              <w:t xml:space="preserve">Ilyos, Nyxalor, Yggorath — um com a existência</w:t>
            </w:r>
          </w:p>
        </w:tc>
      </w:tr>
    </w:tbl>
    <w:p>
      <w:pPr>
        <w:spacing w:before="100"/>
        <w:jc w:val="center"/>
      </w:pPr>
      <w:r>
        <w:rPr>
          <w:i/>
          <w:iCs/>
          <w:color w:val="9AA6B2"/>
          <w:sz w:val="18"/>
          <w:szCs w:val="18"/>
        </w:rPr>
        <w:t xml:space="preserve">Tabela 1: Os Oito Estágios do Despertar</w:t>
      </w:r>
    </w:p>
    <w:p>
      <w:pPr>
        <w:pStyle w:val="Heading2"/>
      </w:pPr>
      <w:r>
        <w:t xml:space="preserve">Esgotamento e A Regra do Zero</w:t>
      </w:r>
    </w:p>
    <w:p>
      <w:pPr>
        <w:spacing w:after="200"/>
      </w:pPr>
      <w:r>
        <w:t xml:space="preserve">O Aethra pode ser "queimado" para amplificar poder, mas o esgotamento traz consequências severas: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AA6B2" w:sz="1"/>
              <w:left w:val="none"/>
              <w:bottom w:val="single" w:color="9AA6B2" w:sz="1"/>
              <w:right w:val="none"/>
            </w:tcBorders>
            <w:shd w:fill="F1F5F9" w:val="clear"/>
            <w:vAlign w:val="center"/>
          </w:tcPr>
          <w:p>
            <w:pPr>
              <w:jc w:val="center"/>
            </w:pPr>
            <w:r>
              <w:rPr>
                <w:b/>
                <w:bCs/>
                <w:sz w:val="20"/>
                <w:szCs w:val="20"/>
              </w:rPr>
              <w:t xml:space="preserve">Nível</w:t>
            </w:r>
          </w:p>
        </w:tc>
        <w:tc>
          <w:tcPr>
            <w:tcW w:type="dxa" w:w="2000"/>
            <w:tcBorders>
              <w:top w:val="single" w:color="9AA6B2" w:sz="1"/>
              <w:left w:val="none"/>
              <w:bottom w:val="single" w:color="9AA6B2" w:sz="1"/>
              <w:right w:val="none"/>
            </w:tcBorders>
            <w:shd w:fill="F1F5F9" w:val="clear"/>
            <w:vAlign w:val="center"/>
          </w:tcPr>
          <w:p>
            <w:pPr>
              <w:jc w:val="center"/>
            </w:pPr>
            <w:r>
              <w:rPr>
                <w:b/>
                <w:bCs/>
                <w:sz w:val="20"/>
                <w:szCs w:val="20"/>
              </w:rPr>
              <w:t xml:space="preserve">Æ Restante</w:t>
            </w:r>
          </w:p>
        </w:tc>
        <w:tc>
          <w:tcPr>
            <w:tcW w:type="dxa" w:w="5360"/>
            <w:tcBorders>
              <w:top w:val="single" w:color="9AA6B2" w:sz="1"/>
              <w:left w:val="none"/>
              <w:bottom w:val="single" w:color="9AA6B2" w:sz="1"/>
              <w:right w:val="none"/>
            </w:tcBorders>
            <w:shd w:fill="F1F5F9" w:val="clear"/>
            <w:vAlign w:val="center"/>
          </w:tcPr>
          <w:p>
            <w:pPr>
              <w:jc w:val="center"/>
            </w:pPr>
            <w:r>
              <w:rPr>
                <w:b/>
                <w:bCs/>
                <w:sz w:val="20"/>
                <w:szCs w:val="20"/>
              </w:rPr>
              <w:t xml:space="preserve">Consequência</w:t>
            </w:r>
          </w:p>
        </w:tc>
      </w:tr>
      <w:tr>
        <w:tc>
          <w:tcPr>
            <w:tcW w:type="dxa" w:w="2000"/>
            <w:tcBorders>
              <w:top w:val="single" w:color="9AA6B2" w:sz="1"/>
              <w:left w:val="none"/>
              <w:bottom w:val="single" w:color="9AA6B2" w:sz="1"/>
              <w:right w:val="none"/>
            </w:tcBorders>
            <w:vAlign w:val="center"/>
          </w:tcPr>
          <w:p>
            <w:pPr>
              <w:jc w:val="center"/>
            </w:pPr>
            <w:r>
              <w:rPr>
                <w:sz w:val="20"/>
                <w:szCs w:val="20"/>
              </w:rPr>
              <w:t xml:space="preserve">Leve</w:t>
            </w:r>
          </w:p>
        </w:tc>
        <w:tc>
          <w:tcPr>
            <w:tcW w:type="dxa" w:w="2000"/>
            <w:tcBorders>
              <w:top w:val="single" w:color="9AA6B2" w:sz="1"/>
              <w:left w:val="none"/>
              <w:bottom w:val="single" w:color="9AA6B2" w:sz="1"/>
              <w:right w:val="none"/>
            </w:tcBorders>
            <w:vAlign w:val="center"/>
          </w:tcPr>
          <w:p>
            <w:pPr>
              <w:jc w:val="center"/>
            </w:pPr>
            <w:r>
              <w:rPr>
                <w:sz w:val="20"/>
                <w:szCs w:val="20"/>
              </w:rPr>
              <w:t xml:space="preserve">60-80%</w:t>
            </w:r>
          </w:p>
        </w:tc>
        <w:tc>
          <w:tcPr>
            <w:tcW w:type="dxa" w:w="5360"/>
            <w:tcBorders>
              <w:top w:val="single" w:color="9AA6B2" w:sz="1"/>
              <w:left w:val="none"/>
              <w:bottom w:val="single" w:color="9AA6B2" w:sz="1"/>
              <w:right w:val="none"/>
            </w:tcBorders>
            <w:vAlign w:val="center"/>
          </w:tcPr>
          <w:p>
            <w:r>
              <w:rPr>
                <w:sz w:val="20"/>
                <w:szCs w:val="20"/>
              </w:rPr>
              <w:t xml:space="preserve">Fadiga, recuperação em horas</w:t>
            </w:r>
          </w:p>
        </w:tc>
      </w:tr>
      <w:tr>
        <w:tc>
          <w:tcPr>
            <w:tcW w:type="dxa" w:w="2000"/>
            <w:tcBorders>
              <w:top w:val="single" w:color="9AA6B2" w:sz="1"/>
              <w:left w:val="none"/>
              <w:bottom w:val="single" w:color="9AA6B2" w:sz="1"/>
              <w:right w:val="none"/>
            </w:tcBorders>
            <w:vAlign w:val="center"/>
          </w:tcPr>
          <w:p>
            <w:pPr>
              <w:jc w:val="center"/>
            </w:pPr>
            <w:r>
              <w:rPr>
                <w:sz w:val="20"/>
                <w:szCs w:val="20"/>
              </w:rPr>
              <w:t xml:space="preserve">Moderado</w:t>
            </w:r>
          </w:p>
        </w:tc>
        <w:tc>
          <w:tcPr>
            <w:tcW w:type="dxa" w:w="2000"/>
            <w:tcBorders>
              <w:top w:val="single" w:color="9AA6B2" w:sz="1"/>
              <w:left w:val="none"/>
              <w:bottom w:val="single" w:color="9AA6B2" w:sz="1"/>
              <w:right w:val="none"/>
            </w:tcBorders>
            <w:vAlign w:val="center"/>
          </w:tcPr>
          <w:p>
            <w:pPr>
              <w:jc w:val="center"/>
            </w:pPr>
            <w:r>
              <w:rPr>
                <w:sz w:val="20"/>
                <w:szCs w:val="20"/>
              </w:rPr>
              <w:t xml:space="preserve">40-60%</w:t>
            </w:r>
          </w:p>
        </w:tc>
        <w:tc>
          <w:tcPr>
            <w:tcW w:type="dxa" w:w="5360"/>
            <w:tcBorders>
              <w:top w:val="single" w:color="9AA6B2" w:sz="1"/>
              <w:left w:val="none"/>
              <w:bottom w:val="single" w:color="9AA6B2" w:sz="1"/>
              <w:right w:val="none"/>
            </w:tcBorders>
            <w:vAlign w:val="center"/>
          </w:tcPr>
          <w:p>
            <w:r>
              <w:rPr>
                <w:sz w:val="20"/>
                <w:szCs w:val="20"/>
              </w:rPr>
              <w:t xml:space="preserve">Exaustão, recuperação em dias</w:t>
            </w:r>
          </w:p>
        </w:tc>
      </w:tr>
      <w:tr>
        <w:tc>
          <w:tcPr>
            <w:tcW w:type="dxa" w:w="2000"/>
            <w:tcBorders>
              <w:top w:val="single" w:color="9AA6B2" w:sz="1"/>
              <w:left w:val="none"/>
              <w:bottom w:val="single" w:color="9AA6B2" w:sz="1"/>
              <w:right w:val="none"/>
            </w:tcBorders>
            <w:vAlign w:val="center"/>
          </w:tcPr>
          <w:p>
            <w:pPr>
              <w:jc w:val="center"/>
            </w:pPr>
            <w:r>
              <w:rPr>
                <w:sz w:val="20"/>
                <w:szCs w:val="20"/>
              </w:rPr>
              <w:t xml:space="preserve">Severo</w:t>
            </w:r>
          </w:p>
        </w:tc>
        <w:tc>
          <w:tcPr>
            <w:tcW w:type="dxa" w:w="2000"/>
            <w:tcBorders>
              <w:top w:val="single" w:color="9AA6B2" w:sz="1"/>
              <w:left w:val="none"/>
              <w:bottom w:val="single" w:color="9AA6B2" w:sz="1"/>
              <w:right w:val="none"/>
            </w:tcBorders>
            <w:vAlign w:val="center"/>
          </w:tcPr>
          <w:p>
            <w:pPr>
              <w:jc w:val="center"/>
            </w:pPr>
            <w:r>
              <w:rPr>
                <w:sz w:val="20"/>
                <w:szCs w:val="20"/>
              </w:rPr>
              <w:t xml:space="preserve">20-40%</w:t>
            </w:r>
          </w:p>
        </w:tc>
        <w:tc>
          <w:tcPr>
            <w:tcW w:type="dxa" w:w="5360"/>
            <w:tcBorders>
              <w:top w:val="single" w:color="9AA6B2" w:sz="1"/>
              <w:left w:val="none"/>
              <w:bottom w:val="single" w:color="9AA6B2" w:sz="1"/>
              <w:right w:val="none"/>
            </w:tcBorders>
            <w:vAlign w:val="center"/>
          </w:tcPr>
          <w:p>
            <w:r>
              <w:rPr>
                <w:sz w:val="20"/>
                <w:szCs w:val="20"/>
              </w:rPr>
              <w:t xml:space="preserve">Coma regenerativo, recuperação em semanas</w:t>
            </w:r>
          </w:p>
        </w:tc>
      </w:tr>
      <w:tr>
        <w:tc>
          <w:tcPr>
            <w:tcW w:type="dxa" w:w="2000"/>
            <w:tcBorders>
              <w:top w:val="single" w:color="9AA6B2" w:sz="1"/>
              <w:left w:val="none"/>
              <w:bottom w:val="single" w:color="9AA6B2" w:sz="1"/>
              <w:right w:val="none"/>
            </w:tcBorders>
            <w:vAlign w:val="center"/>
          </w:tcPr>
          <w:p>
            <w:pPr>
              <w:jc w:val="center"/>
            </w:pPr>
            <w:r>
              <w:rPr>
                <w:sz w:val="20"/>
                <w:szCs w:val="20"/>
              </w:rPr>
              <w:t xml:space="preserve">Crítico</w:t>
            </w:r>
          </w:p>
        </w:tc>
        <w:tc>
          <w:tcPr>
            <w:tcW w:type="dxa" w:w="2000"/>
            <w:tcBorders>
              <w:top w:val="single" w:color="9AA6B2" w:sz="1"/>
              <w:left w:val="none"/>
              <w:bottom w:val="single" w:color="9AA6B2" w:sz="1"/>
              <w:right w:val="none"/>
            </w:tcBorders>
            <w:vAlign w:val="center"/>
          </w:tcPr>
          <w:p>
            <w:pPr>
              <w:jc w:val="center"/>
            </w:pPr>
            <w:r>
              <w:rPr>
                <w:sz w:val="20"/>
                <w:szCs w:val="20"/>
              </w:rPr>
              <w:t xml:space="preserve">5-20%</w:t>
            </w:r>
          </w:p>
        </w:tc>
        <w:tc>
          <w:tcPr>
            <w:tcW w:type="dxa" w:w="5360"/>
            <w:tcBorders>
              <w:top w:val="single" w:color="9AA6B2" w:sz="1"/>
              <w:left w:val="none"/>
              <w:bottom w:val="single" w:color="9AA6B2" w:sz="1"/>
              <w:right w:val="none"/>
            </w:tcBorders>
            <w:vAlign w:val="center"/>
          </w:tcPr>
          <w:p>
            <w:r>
              <w:rPr>
                <w:sz w:val="20"/>
                <w:szCs w:val="20"/>
              </w:rPr>
              <w:t xml:space="preserve">Risco de danos permanentes à alma</w:t>
            </w:r>
          </w:p>
        </w:tc>
      </w:tr>
      <w:tr>
        <w:tc>
          <w:tcPr>
            <w:tcW w:type="dxa" w:w="2000"/>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TOTAL</w:t>
            </w:r>
          </w:p>
        </w:tc>
        <w:tc>
          <w:tcPr>
            <w:tcW w:type="dxa" w:w="2000"/>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0 Æ</w:t>
            </w:r>
          </w:p>
        </w:tc>
        <w:tc>
          <w:tcPr>
            <w:tcW w:type="dxa" w:w="5360"/>
            <w:tcBorders>
              <w:top w:val="single" w:color="9AA6B2" w:sz="1"/>
              <w:left w:val="none"/>
              <w:bottom w:val="single" w:color="9AA6B2" w:sz="1"/>
              <w:right w:val="none"/>
            </w:tcBorders>
            <w:shd w:fill="FEE2E2" w:val="clear"/>
            <w:vAlign w:val="center"/>
          </w:tcPr>
          <w:p>
            <w:r>
              <w:rPr>
                <w:b/>
                <w:bCs/>
                <w:color w:val="991B1B"/>
                <w:sz w:val="20"/>
                <w:szCs w:val="20"/>
              </w:rPr>
              <w:t xml:space="preserve">MORTE INSTANTÂNEA E INEVITÁVEL</w:t>
            </w:r>
          </w:p>
        </w:tc>
      </w:tr>
    </w:tbl>
    <w:p>
      <w:pPr>
        <w:spacing w:before="100"/>
        <w:jc w:val="center"/>
      </w:pPr>
      <w:r>
        <w:rPr>
          <w:i/>
          <w:iCs/>
          <w:color w:val="9AA6B2"/>
          <w:sz w:val="18"/>
          <w:szCs w:val="18"/>
        </w:rPr>
        <w:t xml:space="preserve">Tabela 2: Níveis de Esgotamento de Aethra</w:t>
      </w:r>
    </w:p>
    <w:p>
      <w:pPr>
        <w:spacing w:before="300"/>
      </w:pPr>
      <w:r>
        <w:rPr>
          <w:b/>
          <w:bCs/>
        </w:rPr>
        <w:t xml:space="preserve">A REGRA DO ZERO — MORTE ESPIRITUAL: </w:t>
      </w:r>
      <w:r>
        <w:t xml:space="preserve">O Aethra é a manifestação física da alma. Se o Æ chegar a zero — seja por uso excessivo de técnicas, drenagem externa, contaminação, ou qualquer outro meio — o indivíduo morre instantaneamente. Não há exceções. Não há ressurreição. A alma dissolve-se de volta ao Vazio Primordial, e o indivíduo deixa de existir como entidade consciente.</w:t>
      </w:r>
    </w:p>
    <w:p>
      <w:pPr>
        <w:pStyle w:val="Heading2"/>
      </w:pPr>
      <w:r>
        <w:t xml:space="preserve">Silentis — O Aethra Inacessível</w:t>
      </w:r>
    </w:p>
    <w:p>
      <w:pPr>
        <w:spacing w:after="200"/>
      </w:pPr>
      <w:r>
        <w:t xml:space="preserve">Silentis são indivíduos cujo Aethra permanece inacessível apesar de presente. Esta condição pode ter causas genéticas (bloqueio natural), psicológicas (traumas, crenças limitantes), ou espirituais (bloqueio cármico). A verdade oculta é que muitos Silentis possuem Æ extraordinário, mas completamente inacessível — podem ter mais energia bruta que um Arconte, mas jamais acessá-la conscientemente. O despertar de um Silentis é extremamente raro, requerendo trauma de morte quase certa, intervenção divina, ou tecnologia específica. O exemplo canônico é Noah, cujo Æ latente massivo permaneceu inacessível, mas sua genialidade criou tecnologia que compensava sua incapacidade espiritual.</w:t>
      </w:r>
    </w:p>
    <w:p>
      <w:pPr>
        <w:pStyle w:val="Heading2"/>
      </w:pPr>
      <w:r>
        <w:t xml:space="preserve">Micro Aethrites — Tecnologia Primordial</w:t>
      </w:r>
    </w:p>
    <w:p>
      <w:pPr>
        <w:spacing w:after="200"/>
      </w:pPr>
      <w:r>
        <w:t xml:space="preserve">Micro Aethrites são partículas microscópicas de Aethra cristalizado, criadas pela tecnologia Aetheri na Era Primordial. Sincronizam-se com o Aethra do usuário, permitindo armazenamento de Æ excedente, regeneração acelerada de tecidos, preservação de memórias e conhecimento, adaptação automática a condições ambientais, e amplificação de técnicas espirituais. </w:t>
      </w:r>
      <w:r>
        <w:rPr>
          <w:b/>
          <w:bCs/>
        </w:rPr>
        <w:t xml:space="preserve">Limitação Crítica: </w:t>
      </w:r>
      <w:r>
        <w:t xml:space="preserve">Os Micro Aethrites são parasitários por natureza — não podem ser removidos de um hospedeiro vivo sem causar fatalidade. Podem ser transmitidos através do DNA biológico, como ocorreu entre Alyndra, Grazielly e Iris.</w:t>
      </w:r>
    </w:p>
    <w:p>
      <w:r>
        <w:br w:type="page"/>
      </w:r>
    </w:p>
    <w:p>
      <w:pPr>
        <w:pStyle w:val="Heading1"/>
      </w:pPr>
      <w:r>
        <w:t xml:space="preserve">ALYNDRA</w:t>
      </w:r>
    </w:p>
    <w:p>
      <w:pPr>
        <w:pStyle w:val="Heading2"/>
      </w:pPr>
      <w:r>
        <w:t xml:space="preserve">Definição Fundamental</w:t>
      </w:r>
    </w:p>
    <w:p>
      <w:pPr>
        <w:spacing w:after="200"/>
      </w:pPr>
      <w:r>
        <w:t xml:space="preserve">Alyndra é o nome da figura primordial que deu origem ao universo como conhecemos, bem como o título escolhido para o livro que narra esta saga épica. O nome carrega duplo significado: honra a sacrifício e transformação, representando tanto a personagem histórica quanto o legado que ela deixou para toda a existência. A escolha de "ALYNDRA" como título do livro é uma homenagem direta à figura cujo sacrifício possibilitou a continuidade da vida e cujas leis fundamentais continuam a governar o julgamento das almas através dos eons.</w:t>
      </w:r>
    </w:p>
    <w:p>
      <w:pPr>
        <w:pStyle w:val="Heading2"/>
      </w:pPr>
      <w:r>
        <w:t xml:space="preserve">Alyndra — A Personagem Histórica</w:t>
      </w:r>
    </w:p>
    <w:p>
      <w:pPr>
        <w:spacing w:after="200"/>
      </w:pPr>
      <w:r>
        <w:t xml:space="preserve">Alyndra foi a líder suprema da civilização Aetherion, fundadora de sua estrutura social e criadora da Armadura Suprema que leva seu nome. Consumidora do Fruto de Aetherion, ela transcendeu os limites da mortalidade comum, tornando-se uma das entidades mais poderosas já existentes. Diferente da crença popular de que o poder corrompe, Alyndra manteve-se pura de coração, usando sua força não para dominar, mas para proteger e guiar sua civilização em direção a um propósito maior.</w:t>
      </w:r>
    </w:p>
    <w:p>
      <w:pPr>
        <w:spacing w:after="200"/>
      </w:pPr>
      <w:r>
        <w:t xml:space="preserve">O consumo do Fruto concedeu a Alyndra uma compreensão profunda dos princípios fundamentais da existência. Ela viu as leis que governam a realidade, os mecanismos pelos quais as almas são julgadas, e a verdadeira natureza da pureza espiritual. Este conhecimento não a encheu de orgulho, mas de responsabilidade. Alyndra compreendeu que o poder sem sabedoria leva à corrupção, e que mesmo as intenções mais puras podem ter consequências desastrosas se não forem guiadas por princípios corretos.</w:t>
      </w:r>
    </w:p>
    <w:p>
      <w:pPr>
        <w:pStyle w:val="Heading2"/>
      </w:pPr>
      <w:r>
        <w:t xml:space="preserve">O Grande Conhecimento</w:t>
      </w:r>
    </w:p>
    <w:p>
      <w:pPr>
        <w:spacing w:after="200"/>
      </w:pPr>
      <w:r>
        <w:t xml:space="preserve">Ao consumir o Fruto, Alyndra acessou o conhecimento primordial da existência. Ela compreendeu que o universo opera segundo leis inquebráveis — princípios fundamentais que determinam não apenas o funcionamento da realidade física, mas também o destino espiritual de todas as consciências. Este conhecimento revelou-se como um fardo terrível, pois Alyndra viu não apenas o que era, mas o que viria a ser: a queda de Aetherion, a ascensão dos Nihilaryth, e a necessidade de seu próprio sacrifício.</w:t>
      </w:r>
    </w:p>
    <w:p>
      <w:pPr>
        <w:spacing w:after="200"/>
      </w:pPr>
      <w:r>
        <w:t xml:space="preserve">Com esta compreensão, Alyndra criou as </w:t>
      </w:r>
      <w:r>
        <w:rPr>
          <w:b/>
          <w:bCs/>
        </w:rPr>
        <w:t xml:space="preserve">Leis da Pureza</w:t>
      </w:r>
      <w:r>
        <w:t xml:space="preserve"> — um conjunto de princípios destinados a guiar as almas em direção à transcendência. Estas leis não eram mandamentos arbitrários, mas sim a codificação das verdades fundamentais que ela havia testemunhado diretamente. Alyndra gravou essas leis nas sementes que dispersou pelo universo, garantindo que seu conhecimento sobrevivesse mesmo após a queda de sua civilização. Cada semente carrega fragmentos deste conhecimento, esperando ser redescoberto por aqueles dignos de compreendê-lo.</w:t>
      </w:r>
    </w:p>
    <w:p>
      <w:pPr>
        <w:pStyle w:val="Heading2"/>
      </w:pPr>
      <w:r>
        <w:t xml:space="preserve">O Auto Sacrifício</w:t>
      </w:r>
    </w:p>
    <w:p>
      <w:pPr>
        <w:spacing w:after="200"/>
      </w:pPr>
      <w:r>
        <w:t xml:space="preserve">Quando os Nihilaryth emergiram e a corrupção se espalhou por Aetherion, Alyndra compreendeu que não havia salvação para sua civilização em sua forma atual. A contaminação havia penetrado muito profundamente — tentar purificar Aetherion significaria violar o livre-arbítrio de bilhões de consciências. Diante deste cenário impossível, Alyndra escolheu o caminho do sacrifício supremo.</w:t>
      </w:r>
    </w:p>
    <w:p>
      <w:pPr>
        <w:spacing w:after="200"/>
      </w:pPr>
      <w:r>
        <w:t xml:space="preserve">Ela usou todo o poder do Fruto para dilatar os Nihilaryth pelo universo, espalhando suas essências por distâncias tão vastas que levaria eons para se recompor. Este ato consumiu completamente sua força vital, mas comprou tempo para o universo. Antes de seu sacrifício final, Alyndra extraiu a essência espiritual de Aetherion, condensando-a em sementes, criou os últimos Nanobots Primordiais, e preparou sua irmã secreta Yggoraty para o papel que precisaria desempenhar na continuidade da existência.</w:t>
      </w:r>
    </w:p>
    <w:p>
      <w:pPr>
        <w:pStyle w:val="Heading2"/>
      </w:pPr>
      <w:r>
        <w:t xml:space="preserve">O Segredo do Corpo</w:t>
      </w:r>
    </w:p>
    <w:p>
      <w:pPr>
        <w:spacing w:after="200"/>
      </w:pPr>
      <w:r>
        <w:rPr>
          <w:b/>
          <w:bCs/>
        </w:rPr>
        <w:t xml:space="preserve">VERDADE OCULTA: </w:t>
      </w:r>
      <w:r>
        <w:t xml:space="preserve">O corpo de Alyndra não foi destruído em seu sacrifício. Os Nihilaryth, em sua forma fragmentada, conseguiram capturar e preservar seu corpo físico. O paradeiro atual de seu corpo permanece um dos maiores mistérios do universo. Algumas teorias sugerem que ele está em poder de um dos Nihilaryth remanescentes, outros acreditam que pode ter sido escondido em algum local inacessível. A verdade sobre o corpo de Alyndra — e se sua consciência ainda existe de alguma forma — permanece um segredo guardado, aguardando o momento de ser revelado.</w:t>
      </w:r>
    </w:p>
    <w:p>
      <w:pPr>
        <w:pStyle w:val="Heading2"/>
      </w:pPr>
      <w:r>
        <w:t xml:space="preserve">A Armadura de Alyndra</w:t>
      </w:r>
    </w:p>
    <w:p>
      <w:pPr>
        <w:spacing w:after="200"/>
      </w:pPr>
      <w:r>
        <w:t xml:space="preserve">Antes de sua captura, Alyndra criou a Armadura que leva seu nome — posteriormente chamada Armadura Suprema. Este artefato foi forjado usando poder do Fruto para permitir o manuseio seguro do Fruto da Existência. A Armadura possui proteções intrínsecas contra uso malicioso: cada parte só se revela para alguém com linhagem específica (descendentes de Ilyos ou Yggorath), e o Rito de Ilyos só pode ser completado por alguém com pureza de coração comprovada. A Armadura "conhece" seu usuário legítimo e pode recusar ativação mesmo se fisicamente vestida.</w:t>
      </w:r>
    </w:p>
    <w:p>
      <w:pPr>
        <w:pStyle w:val="Heading2"/>
      </w:pPr>
      <w:r>
        <w:t xml:space="preserve">A Irmã Secreta</w:t>
      </w:r>
    </w:p>
    <w:p>
      <w:pPr>
        <w:spacing w:after="200"/>
      </w:pPr>
      <w:r>
        <w:rPr>
          <w:b/>
          <w:bCs/>
        </w:rPr>
        <w:t xml:space="preserve">VERDADE FUNDAMENTAL: </w:t>
      </w:r>
      <w:r>
        <w:t xml:space="preserve">Alyndra e Yggoraty eram irmãs de sangue. Este segredo era conhecido apenas por elas duas e pouquíssimos confidentes absolutos. Publicamente, eram apresentadas como primas distantes ou líder e subordinada. Alyndra, a mais velha por três anos, demonstrou desde jovem uma conexão com o Aethra que excedia qualquer coisa registrada na história. Sua personalidade era marcada por determinação inquebrantável e ambição visionária. Esta relação secreta explica a profunda conexão entre as duas e a confiança absoluta que Alyndra depositou em Yggoraty para proteger a semente que daria origem a Yggorath.</w:t>
      </w:r>
    </w:p>
    <w:p>
      <w:pPr>
        <w:pStyle w:val="Heading2"/>
      </w:pPr>
      <w:r>
        <w:t xml:space="preserve">Conexões com Outros Termos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6B2" w:sz="1"/>
              <w:left w:val="none"/>
              <w:bottom w:val="single" w:color="9AA6B2" w:sz="1"/>
              <w:right w:val="none"/>
            </w:tcBorders>
            <w:shd w:fill="F1F5F9" w:val="clear"/>
            <w:vAlign w:val="center"/>
          </w:tcPr>
          <w:p>
            <w:pPr>
              <w:jc w:val="center"/>
            </w:pPr>
            <w:r>
              <w:rPr>
                <w:b/>
                <w:bCs/>
                <w:sz w:val="20"/>
                <w:szCs w:val="20"/>
              </w:rPr>
              <w:t xml:space="preserve">Termo</w:t>
            </w:r>
          </w:p>
        </w:tc>
        <w:tc>
          <w:tcPr>
            <w:tcW w:type="dxa" w:w="6360"/>
            <w:tcBorders>
              <w:top w:val="single" w:color="9AA6B2" w:sz="1"/>
              <w:left w:val="none"/>
              <w:bottom w:val="single" w:color="9AA6B2" w:sz="1"/>
              <w:right w:val="none"/>
            </w:tcBorders>
            <w:shd w:fill="F1F5F9" w:val="clear"/>
            <w:vAlign w:val="center"/>
          </w:tcPr>
          <w:p>
            <w:pPr>
              <w:jc w:val="center"/>
            </w:pPr>
            <w:r>
              <w:rPr>
                <w:b/>
                <w:bCs/>
                <w:sz w:val="20"/>
                <w:szCs w:val="20"/>
              </w:rPr>
              <w:t xml:space="preserve">Conexão com Alyndra</w:t>
            </w:r>
          </w:p>
        </w:tc>
      </w:tr>
      <w:tr>
        <w:tc>
          <w:tcPr>
            <w:tcW w:type="dxa" w:w="3000"/>
            <w:tcBorders>
              <w:top w:val="single" w:color="9AA6B2" w:sz="1"/>
              <w:left w:val="none"/>
              <w:bottom w:val="single" w:color="9AA6B2" w:sz="1"/>
              <w:right w:val="none"/>
            </w:tcBorders>
            <w:vAlign w:val="center"/>
          </w:tcPr>
          <w:p>
            <w:r>
              <w:rPr>
                <w:sz w:val="20"/>
                <w:szCs w:val="20"/>
              </w:rPr>
              <w:t xml:space="preserve">Fruto de Aetherion</w:t>
            </w:r>
          </w:p>
        </w:tc>
        <w:tc>
          <w:tcPr>
            <w:tcW w:type="dxa" w:w="6360"/>
            <w:tcBorders>
              <w:top w:val="single" w:color="9AA6B2" w:sz="1"/>
              <w:left w:val="none"/>
              <w:bottom w:val="single" w:color="9AA6B2" w:sz="1"/>
              <w:right w:val="none"/>
            </w:tcBorders>
            <w:vAlign w:val="center"/>
          </w:tcPr>
          <w:p>
            <w:r>
              <w:rPr>
                <w:sz w:val="20"/>
                <w:szCs w:val="20"/>
              </w:rPr>
              <w:t xml:space="preserve">Fonte do poder e conhecimento de Alyndra</w:t>
            </w:r>
          </w:p>
        </w:tc>
      </w:tr>
      <w:tr>
        <w:tc>
          <w:tcPr>
            <w:tcW w:type="dxa" w:w="3000"/>
            <w:tcBorders>
              <w:top w:val="single" w:color="9AA6B2" w:sz="1"/>
              <w:left w:val="none"/>
              <w:bottom w:val="single" w:color="9AA6B2" w:sz="1"/>
              <w:right w:val="none"/>
            </w:tcBorders>
            <w:vAlign w:val="center"/>
          </w:tcPr>
          <w:p>
            <w:r>
              <w:rPr>
                <w:sz w:val="20"/>
                <w:szCs w:val="20"/>
              </w:rPr>
              <w:t xml:space="preserve">Leis da Pureza</w:t>
            </w:r>
          </w:p>
        </w:tc>
        <w:tc>
          <w:tcPr>
            <w:tcW w:type="dxa" w:w="6360"/>
            <w:tcBorders>
              <w:top w:val="single" w:color="9AA6B2" w:sz="1"/>
              <w:left w:val="none"/>
              <w:bottom w:val="single" w:color="9AA6B2" w:sz="1"/>
              <w:right w:val="none"/>
            </w:tcBorders>
            <w:vAlign w:val="center"/>
          </w:tcPr>
          <w:p>
            <w:r>
              <w:rPr>
                <w:sz w:val="20"/>
                <w:szCs w:val="20"/>
              </w:rPr>
              <w:t xml:space="preserve">Criadas por Alyndra após compreender os princípios da existência</w:t>
            </w:r>
          </w:p>
        </w:tc>
      </w:tr>
      <w:tr>
        <w:tc>
          <w:tcPr>
            <w:tcW w:type="dxa" w:w="3000"/>
            <w:tcBorders>
              <w:top w:val="single" w:color="9AA6B2" w:sz="1"/>
              <w:left w:val="none"/>
              <w:bottom w:val="single" w:color="9AA6B2" w:sz="1"/>
              <w:right w:val="none"/>
            </w:tcBorders>
            <w:vAlign w:val="center"/>
          </w:tcPr>
          <w:p>
            <w:r>
              <w:rPr>
                <w:sz w:val="20"/>
                <w:szCs w:val="20"/>
              </w:rPr>
              <w:t xml:space="preserve">Armadura Suprema</w:t>
            </w:r>
          </w:p>
        </w:tc>
        <w:tc>
          <w:tcPr>
            <w:tcW w:type="dxa" w:w="6360"/>
            <w:tcBorders>
              <w:top w:val="single" w:color="9AA6B2" w:sz="1"/>
              <w:left w:val="none"/>
              <w:bottom w:val="single" w:color="9AA6B2" w:sz="1"/>
              <w:right w:val="none"/>
            </w:tcBorders>
            <w:vAlign w:val="center"/>
          </w:tcPr>
          <w:p>
            <w:r>
              <w:rPr>
                <w:sz w:val="20"/>
                <w:szCs w:val="20"/>
              </w:rPr>
              <w:t xml:space="preserve">Criada por Alyndra para manusear o Fruto com segurança</w:t>
            </w:r>
          </w:p>
        </w:tc>
      </w:tr>
      <w:tr>
        <w:tc>
          <w:tcPr>
            <w:tcW w:type="dxa" w:w="3000"/>
            <w:tcBorders>
              <w:top w:val="single" w:color="9AA6B2" w:sz="1"/>
              <w:left w:val="none"/>
              <w:bottom w:val="single" w:color="9AA6B2" w:sz="1"/>
              <w:right w:val="none"/>
            </w:tcBorders>
            <w:vAlign w:val="center"/>
          </w:tcPr>
          <w:p>
            <w:r>
              <w:rPr>
                <w:sz w:val="20"/>
                <w:szCs w:val="20"/>
              </w:rPr>
              <w:t xml:space="preserve">Yggoraty</w:t>
            </w:r>
          </w:p>
        </w:tc>
        <w:tc>
          <w:tcPr>
            <w:tcW w:type="dxa" w:w="6360"/>
            <w:tcBorders>
              <w:top w:val="single" w:color="9AA6B2" w:sz="1"/>
              <w:left w:val="none"/>
              <w:bottom w:val="single" w:color="9AA6B2" w:sz="1"/>
              <w:right w:val="none"/>
            </w:tcBorders>
            <w:vAlign w:val="center"/>
          </w:tcPr>
          <w:p>
            <w:r>
              <w:rPr>
                <w:sz w:val="20"/>
                <w:szCs w:val="20"/>
              </w:rPr>
              <w:t xml:space="preserve">Irmã secreta de Alyndra, destinatária da semente</w:t>
            </w:r>
          </w:p>
        </w:tc>
      </w:tr>
      <w:tr>
        <w:tc>
          <w:tcPr>
            <w:tcW w:type="dxa" w:w="3000"/>
            <w:tcBorders>
              <w:top w:val="single" w:color="9AA6B2" w:sz="1"/>
              <w:left w:val="none"/>
              <w:bottom w:val="single" w:color="9AA6B2" w:sz="1"/>
              <w:right w:val="none"/>
            </w:tcBorders>
            <w:vAlign w:val="center"/>
          </w:tcPr>
          <w:p>
            <w:r>
              <w:rPr>
                <w:sz w:val="20"/>
                <w:szCs w:val="20"/>
              </w:rPr>
              <w:t xml:space="preserve">Yggorath</w:t>
            </w:r>
          </w:p>
        </w:tc>
        <w:tc>
          <w:tcPr>
            <w:tcW w:type="dxa" w:w="6360"/>
            <w:tcBorders>
              <w:top w:val="single" w:color="9AA6B2" w:sz="1"/>
              <w:left w:val="none"/>
              <w:bottom w:val="single" w:color="9AA6B2" w:sz="1"/>
              <w:right w:val="none"/>
            </w:tcBorders>
            <w:vAlign w:val="center"/>
          </w:tcPr>
          <w:p>
            <w:r>
              <w:rPr>
                <w:sz w:val="20"/>
                <w:szCs w:val="20"/>
              </w:rPr>
              <w:t xml:space="preserve">Nasceu da semente protegida por Yggoraty (irmã de Alyndra)</w:t>
            </w:r>
          </w:p>
        </w:tc>
      </w:tr>
      <w:tr>
        <w:tc>
          <w:tcPr>
            <w:tcW w:type="dxa" w:w="3000"/>
            <w:tcBorders>
              <w:top w:val="single" w:color="9AA6B2" w:sz="1"/>
              <w:left w:val="none"/>
              <w:bottom w:val="single" w:color="9AA6B2" w:sz="1"/>
              <w:right w:val="none"/>
            </w:tcBorders>
            <w:vAlign w:val="center"/>
          </w:tcPr>
          <w:p>
            <w:r>
              <w:rPr>
                <w:sz w:val="20"/>
                <w:szCs w:val="20"/>
              </w:rPr>
              <w:t xml:space="preserve">Nihilaryth</w:t>
            </w:r>
          </w:p>
        </w:tc>
        <w:tc>
          <w:tcPr>
            <w:tcW w:type="dxa" w:w="6360"/>
            <w:tcBorders>
              <w:top w:val="single" w:color="9AA6B2" w:sz="1"/>
              <w:left w:val="none"/>
              <w:bottom w:val="single" w:color="9AA6B2" w:sz="1"/>
              <w:right w:val="none"/>
            </w:tcBorders>
            <w:vAlign w:val="center"/>
          </w:tcPr>
          <w:p>
            <w:r>
              <w:rPr>
                <w:sz w:val="20"/>
                <w:szCs w:val="20"/>
              </w:rPr>
              <w:t xml:space="preserve">Inimigos que causaram a queda de Aetherion e capturaram seu corpo</w:t>
            </w:r>
          </w:p>
        </w:tc>
      </w:tr>
      <w:tr>
        <w:tc>
          <w:tcPr>
            <w:tcW w:type="dxa" w:w="3000"/>
            <w:tcBorders>
              <w:top w:val="single" w:color="9AA6B2" w:sz="1"/>
              <w:left w:val="none"/>
              <w:bottom w:val="single" w:color="9AA6B2" w:sz="1"/>
              <w:right w:val="none"/>
            </w:tcBorders>
            <w:vAlign w:val="center"/>
          </w:tcPr>
          <w:p>
            <w:r>
              <w:rPr>
                <w:sz w:val="20"/>
                <w:szCs w:val="20"/>
              </w:rPr>
              <w:t xml:space="preserve">Sementes</w:t>
            </w:r>
          </w:p>
        </w:tc>
        <w:tc>
          <w:tcPr>
            <w:tcW w:type="dxa" w:w="6360"/>
            <w:tcBorders>
              <w:top w:val="single" w:color="9AA6B2" w:sz="1"/>
              <w:left w:val="none"/>
              <w:bottom w:val="single" w:color="9AA6B2" w:sz="1"/>
              <w:right w:val="none"/>
            </w:tcBorders>
            <w:vAlign w:val="center"/>
          </w:tcPr>
          <w:p>
            <w:r>
              <w:rPr>
                <w:sz w:val="20"/>
                <w:szCs w:val="20"/>
              </w:rPr>
              <w:t xml:space="preserve">Alyndra gravou as Leis da Pureza nas sementes dispersas</w:t>
            </w:r>
          </w:p>
        </w:tc>
      </w:tr>
      <w:tr>
        <w:tc>
          <w:tcPr>
            <w:tcW w:type="dxa" w:w="3000"/>
            <w:tcBorders>
              <w:top w:val="single" w:color="9AA6B2" w:sz="1"/>
              <w:left w:val="none"/>
              <w:bottom w:val="single" w:color="9AA6B2" w:sz="1"/>
              <w:right w:val="none"/>
            </w:tcBorders>
            <w:vAlign w:val="center"/>
          </w:tcPr>
          <w:p>
            <w:r>
              <w:rPr>
                <w:sz w:val="20"/>
                <w:szCs w:val="20"/>
              </w:rPr>
              <w:t xml:space="preserve">Micro Aethrites</w:t>
            </w:r>
          </w:p>
        </w:tc>
        <w:tc>
          <w:tcPr>
            <w:tcW w:type="dxa" w:w="6360"/>
            <w:tcBorders>
              <w:top w:val="single" w:color="9AA6B2" w:sz="1"/>
              <w:left w:val="none"/>
              <w:bottom w:val="single" w:color="9AA6B2" w:sz="1"/>
              <w:right w:val="none"/>
            </w:tcBorders>
            <w:vAlign w:val="center"/>
          </w:tcPr>
          <w:p>
            <w:r>
              <w:rPr>
                <w:sz w:val="20"/>
                <w:szCs w:val="20"/>
              </w:rPr>
              <w:t xml:space="preserve">Transmitidos através do DNA de Alyndra para Grazielly e Iris</w:t>
            </w:r>
          </w:p>
        </w:tc>
      </w:tr>
    </w:tbl>
    <w:p>
      <w:pPr>
        <w:spacing w:before="100"/>
        <w:jc w:val="center"/>
      </w:pPr>
      <w:r>
        <w:rPr>
          <w:i/>
          <w:iCs/>
          <w:color w:val="9AA6B2"/>
          <w:sz w:val="18"/>
          <w:szCs w:val="18"/>
        </w:rPr>
        <w:t xml:space="preserve">Tabela 3: Conexões de Alyndra com Outros Termos</w:t>
      </w:r>
    </w:p>
    <w:p>
      <w:r>
        <w:br w:type="page"/>
      </w:r>
    </w:p>
    <w:p>
      <w:pPr>
        <w:pStyle w:val="Heading1"/>
      </w:pPr>
      <w:r>
        <w:t xml:space="preserve">LEIS DA PUREZA</w:t>
      </w:r>
    </w:p>
    <w:p>
      <w:pPr>
        <w:pStyle w:val="Heading2"/>
      </w:pPr>
      <w:r>
        <w:t xml:space="preserve">Definição Fundamental</w:t>
      </w:r>
    </w:p>
    <w:p>
      <w:pPr>
        <w:spacing w:after="200"/>
      </w:pPr>
      <w:r>
        <w:t xml:space="preserve">As Leis da Pureza são o conjunto de princípios fundamentais criados por Alyndra após consumir o Fruto de Aetherion e compreender os mecanismos profundos da existência. Estas leis não são mandamentos impostos de fora, mas sim a codificação das verdades universais que governam o destino espiritual de todas as consciências. Alyndra gravou estas leis nas sementes que dispersou pelo universo, garantindo que o conhecimento da transcendência sobrevivesse mesmo após a queda de sua civilização.</w:t>
      </w:r>
    </w:p>
    <w:p>
      <w:pPr>
        <w:spacing w:after="200"/>
      </w:pPr>
      <w:r>
        <w:t xml:space="preserve">Diferente de sistemas morais criados por civilizações mortais, as Leis da Pureza não julgam ações isoladas, mas sim a harmonia integral entre a essência de um ser e a estrutura fundamental do universo. Elas reconhecem que a intenção, o impacto e a coerência interna de uma alma são interligados de formas que transcendem a compreensão convencional de bem e mal. Uma ação aparentemente benéfica pode corromper se motivada por egoísmo, enquanto um ato que parece destrutivo pode purificar se motivado por amor genuíno.</w:t>
      </w:r>
    </w:p>
    <w:p>
      <w:pPr>
        <w:pStyle w:val="Heading2"/>
      </w:pPr>
      <w:r>
        <w:t xml:space="preserve">As Sete Leis Fundamentais</w:t>
      </w:r>
    </w:p>
    <w:p>
      <w:pPr>
        <w:spacing w:after="200"/>
      </w:pPr>
      <w:r>
        <w:t xml:space="preserve">Alyndra codificou sete leis fundamentais que determinam o estado de pureza de uma alma. Cada lei representa um aspecto diferente da harmonia entre o indivíduo e a estrutura cósmica, e todas são avaliadas em conjunto no momento do julgamento:</w:t>
      </w:r>
    </w:p>
    <w:p>
      <w:pPr>
        <w:pStyle w:val="Heading3"/>
      </w:pPr>
      <w:r>
        <w:t xml:space="preserve">Lei I — A Lei da Intenção Pura</w:t>
      </w:r>
    </w:p>
    <w:p>
      <w:pPr>
        <w:spacing w:after="150"/>
      </w:pPr>
      <w:r>
        <w:rPr>
          <w:b/>
          <w:bCs/>
        </w:rPr>
        <w:t xml:space="preserve">Princípio: </w:t>
      </w:r>
      <w:r>
        <w:t xml:space="preserve">"A alma é julgada não pelo que faz, mas pelo que deseja ser."</w:t>
      </w:r>
    </w:p>
    <w:p>
      <w:pPr>
        <w:spacing w:after="200"/>
      </w:pPr>
      <w:r>
        <w:t xml:space="preserve">A primeira lei estabelece que as verdadeiras motivações de uma consciência determinam seu estado espiritual. Ações externas podem ser enganosas — um ato de caridade motivado por vaidade corrompe, enquanto um ato de severidade motivado por amor genuíno pode purificar. A Lei da Intenção Pura reconhece que a alma é moldada por suas aspirações mais profundas, não apenas por suas manifestações externas. No julgamento final, é a essência do desejo que pesa, não a aparência da ação.</w:t>
      </w:r>
    </w:p>
    <w:p>
      <w:pPr>
        <w:spacing w:after="200"/>
      </w:pPr>
      <w:r>
        <w:t xml:space="preserve">Esta lei explica por que os Nihilaryth são considerados corruptos apesar de terem buscado criar um universo próprio — sua intenção fundamental era superar o Criador, um desejo nascido do orgulho e da rejeição da harmonia existente. Por outro lado, o sacrifício de Yggoraty foi julgado puro porque sua intenção era proteger a vida, mesmo que o ato em si envolvesse sua própria destruição.</w:t>
      </w:r>
    </w:p>
    <w:p>
      <w:pPr>
        <w:pStyle w:val="Heading3"/>
      </w:pPr>
      <w:r>
        <w:t xml:space="preserve">Lei II — A Lei do Impacto Real</w:t>
      </w:r>
    </w:p>
    <w:p>
      <w:pPr>
        <w:spacing w:after="150"/>
      </w:pPr>
      <w:r>
        <w:rPr>
          <w:b/>
          <w:bCs/>
        </w:rPr>
        <w:t xml:space="preserve">Princípio: </w:t>
      </w:r>
      <w:r>
        <w:t xml:space="preserve">"Toda ação ecoa através do tecido da existência; a alma carrega o peso de seus ecos."</w:t>
      </w:r>
    </w:p>
    <w:p>
      <w:pPr>
        <w:spacing w:after="200"/>
      </w:pPr>
      <w:r>
        <w:t xml:space="preserve">A segunda lei reconhece que boas intenções não são suficientes se o impacto real de uma ação é prejudicial. A alma é responsável não apenas pelo que pretende, mas pelo que efetivamente causa no universo. Esta lei introduz o conceito de consequência espiritual — cada ação, palavra, e até pensamento cria ondas que se propagam através do tecido da realidade, afetando outras consciências de maneiras que podem não ser imediatamente aparentes.</w:t>
      </w:r>
    </w:p>
    <w:p>
      <w:pPr>
        <w:spacing w:after="200"/>
      </w:pPr>
      <w:r>
        <w:t xml:space="preserve">A Lei do Impacto Real também reconhece a ignorância como atenuante, mas não como absolvição completa. Uma alma que causa dano sem saber será julgada com mais compaixão que uma que causa dano deliberadamente, mas ainda assim carregará parte do peso de suas ações. Esta é a razão pela qual o autoconhecimento e a reflexão são considerados virtudes espirituais essenciais — quanto mais uma consciência compreende a si mesma e ao universo, maior sua responsabilidade.</w:t>
      </w:r>
    </w:p>
    <w:p>
      <w:pPr>
        <w:pStyle w:val="Heading3"/>
      </w:pPr>
      <w:r>
        <w:t xml:space="preserve">Lei III — A Lei da Coerência Interior</w:t>
      </w:r>
    </w:p>
    <w:p>
      <w:pPr>
        <w:spacing w:after="150"/>
      </w:pPr>
      <w:r>
        <w:rPr>
          <w:b/>
          <w:bCs/>
        </w:rPr>
        <w:t xml:space="preserve">Princípio: </w:t>
      </w:r>
      <w:r>
        <w:t xml:space="preserve">"Uma alma dividida contra si mesma não pode transcender; a integridade é o caminho para a eternidade."</w:t>
      </w:r>
    </w:p>
    <w:p>
      <w:pPr>
        <w:spacing w:after="200"/>
      </w:pPr>
      <w:r>
        <w:t xml:space="preserve">A terceira lei estabelece que a fragmentação interna impede a transcendência. Uma alma que carrega contradições profundas — que deseja o bem mas cultiva o ódio, que busca a verdade mas se refugia na mentira — cria uma desarmonia interna que a torna incompatível com a estrutura integrada do universo. A coerência não significa perfeição, mas sim honestidade consigo mesmo e esforço genuíno para alinhar pensamentos, palavras e ações.</w:t>
      </w:r>
    </w:p>
    <w:p>
      <w:pPr>
        <w:spacing w:after="200"/>
      </w:pPr>
      <w:r>
        <w:t xml:space="preserve">Esta lei explica por que a hipocrisia é considerada uma das corrupções mais graves. O hipócrita não apenas erra, mas constrói uma falsa identidade que o separa de sua verdade interior. Esta fragmentação, se não resolvida antes da morte, pode resultar na dissolução da consciência — pois uma alma que não sabe quem é verdadeiramente não pode ser absorvida pelo universo como uma entidade completa.</w:t>
      </w:r>
    </w:p>
    <w:p>
      <w:pPr>
        <w:pStyle w:val="Heading3"/>
      </w:pPr>
      <w:r>
        <w:t xml:space="preserve">Lei IV — A Lei do Sacrifício Consciente</w:t>
      </w:r>
    </w:p>
    <w:p>
      <w:pPr>
        <w:spacing w:after="150"/>
      </w:pPr>
      <w:r>
        <w:rPr>
          <w:b/>
          <w:bCs/>
        </w:rPr>
        <w:t xml:space="preserve">Princípio: </w:t>
      </w:r>
      <w:r>
        <w:t xml:space="preserve">"O maior poder da existência é abrir mão de si mesmo por amor; este é o caminho da transcendência suprema."</w:t>
      </w:r>
    </w:p>
    <w:p>
      <w:pPr>
        <w:spacing w:after="200"/>
      </w:pPr>
      <w:r>
        <w:t xml:space="preserve">A quarta lei reconhece o sacrifício de amor como a expressão mais pura de que uma consciência é capaz. Quando um ser abre mão de algo precioso — inclusive sua própria existência — pelo bem de outros, sem expectativa de recompensa, esta ação cria uma ressonância única com a estrutura do universo. O Criador, ao se transformar na própria existência, praticou o sacrifício supremo; assim, aqueles que sacrificam por amor ecoam este ato primordial.</w:t>
      </w:r>
    </w:p>
    <w:p>
      <w:pPr>
        <w:spacing w:after="200"/>
      </w:pPr>
      <w:r>
        <w:t xml:space="preserve">A Lei do Sacrifício Consciente não exige o martírio, mas reconhece que o amor genuíno transcende o egoísmo natural da autopreservação. É esta lei que explica por que o sacrifício de Alyndra, Yggoraty, Elarys e Elainy criaram ondas de transformação que moldaram eras inteiras. Cada sacrifício de amor genuíno fortalece o tecido da existência e cria caminhos para que outros possam transcender.</w:t>
      </w:r>
    </w:p>
    <w:p>
      <w:pPr>
        <w:pStyle w:val="Heading3"/>
      </w:pPr>
      <w:r>
        <w:t xml:space="preserve">Lei V — A Lei da Responsabilidade Cósmica</w:t>
      </w:r>
    </w:p>
    <w:p>
      <w:pPr>
        <w:spacing w:after="150"/>
      </w:pPr>
      <w:r>
        <w:rPr>
          <w:b/>
          <w:bCs/>
        </w:rPr>
        <w:t xml:space="preserve">Princípio: </w:t>
      </w:r>
      <w:r>
        <w:t xml:space="preserve">"Todo ser é guardião de tudo o que toca; a posse é uma ilusão, a responsabilidade é eterna."</w:t>
      </w:r>
    </w:p>
    <w:p>
      <w:pPr>
        <w:spacing w:after="200"/>
      </w:pPr>
      <w:r>
        <w:t xml:space="preserve">A quinta lei estabelece que toda consciência é responsável não apenas por suas próprias ações, mas pelo impacto que exerce sobre tudo o que entra em sua esfera de influência. Um líder é responsável pelo bem-estar de seus liderados; um mestre, pelo desenvolvimento de seus discípulos; um artista, pela verdade de sua criação. Esta lei reconhece que o poder — seja político, espiritual, criativo ou intelectual — carrega consigo a obrigação de usá-lo para o benefício do todo.</w:t>
      </w:r>
    </w:p>
    <w:p>
      <w:pPr>
        <w:spacing w:after="200"/>
      </w:pPr>
      <w:r>
        <w:t xml:space="preserve">A Lei da Responsabilidade Cósmica explica por que os Nihilaryth são considerados tão corruptos. Como os dez seres mais poderosos de sua era, eles tinham responsabilidade cósmica sobre uma vasta civilização. Ao buscar poder para si mesmos, negligenciaram completamente esta responsabilidade. A magnitude de sua posição tornou a magnitude de sua queda igualmente vasto.</w:t>
      </w:r>
    </w:p>
    <w:p>
      <w:pPr>
        <w:pStyle w:val="Heading3"/>
      </w:pPr>
      <w:r>
        <w:t xml:space="preserve">Lei VI — A Lei do Crescimento Contínuo</w:t>
      </w:r>
    </w:p>
    <w:p>
      <w:pPr>
        <w:spacing w:after="150"/>
      </w:pPr>
      <w:r>
        <w:rPr>
          <w:b/>
          <w:bCs/>
        </w:rPr>
        <w:t xml:space="preserve">Princípio: </w:t>
      </w:r>
      <w:r>
        <w:t xml:space="preserve">"A alma que cessa de evoluir começa a morrer; a estagnação é a primeira sombra da corrupção."</w:t>
      </w:r>
    </w:p>
    <w:p>
      <w:pPr>
        <w:spacing w:after="200"/>
      </w:pPr>
      <w:r>
        <w:t xml:space="preserve">A sexta lei reconhece que o universo está em constante evolução, e que as consciências que o compõem devem evoluir junto com ele. Uma alma que se recusa a aprender, crescer, ou mudar — mesmo que tenha sido pura no passado — gradualmente se torna incompatível com a realidade em transformação. Esta lei não exige perfeição, mas sim movimento: o esforço genuíno para se tornar melhor, mais sábio, mais compassivo.</w:t>
      </w:r>
    </w:p>
    <w:p>
      <w:pPr>
        <w:spacing w:after="200"/>
      </w:pPr>
      <w:r>
        <w:t xml:space="preserve">A Lei do Crescimento Contínuo explica por que a arrogância espiritual é tão perigosa. Aquele que acredita ter alcançado a sabedoria final cessou de crescer, e assim começou a declinar. Os maiores mestres espirituais do universo sempre reconheceram que quanto mais aprendiam, mais percebiam quanto ainda havia para aprender. Esta humildade não é falsa modéstia, mas reconhecimento genuíno da vastidão do universo e da própria limitação.</w:t>
      </w:r>
    </w:p>
    <w:p>
      <w:pPr>
        <w:pStyle w:val="Heading3"/>
      </w:pPr>
      <w:r>
        <w:t xml:space="preserve">Lei VII — A Lei da Conexão Universal</w:t>
      </w:r>
    </w:p>
    <w:p>
      <w:pPr>
        <w:spacing w:after="150"/>
      </w:pPr>
      <w:r>
        <w:rPr>
          <w:b/>
          <w:bCs/>
        </w:rPr>
        <w:t xml:space="preserve">Princípio: </w:t>
      </w:r>
      <w:r>
        <w:t xml:space="preserve">"Todas as almas são fios do mesmo tecido; ferir outro é ferir a si mesmo, elevar outro é elevar o todo."</w:t>
      </w:r>
    </w:p>
    <w:p>
      <w:pPr>
        <w:spacing w:after="200"/>
      </w:pPr>
      <w:r>
        <w:t xml:space="preserve">A sétima e última lei reconhece a interconexão fundamental de toda existência. Nenhuma consciência existe isoladamente; cada uma é parte de uma rede vasta e complexa de relações que abrange todo o universo. Ações que prejudicam outros prejudicam o todo, e portanto prejudicam o próprio agente. Da mesma forma, ações que beneficiam outros fortalecem o todo, e portanto beneficiam quem as pratica.</w:t>
      </w:r>
    </w:p>
    <w:p>
      <w:pPr>
        <w:spacing w:after="200"/>
      </w:pPr>
      <w:r>
        <w:t xml:space="preserve">Esta lei representa a compreensão mais profunda que Alyndra alcançou através do Fruto: a separação entre "eu" e "outro" é uma ilusão necessária para a experiência individual, mas no nível fundamental, todas as consciências são manifestações do mesmo princípio criador. Aqueles que internalizam esta verdade naturalmente agem com compaixão, pois percebem que não podem ferir outro sem ferir a si mesmos.</w:t>
      </w:r>
    </w:p>
    <w:p>
      <w:pPr>
        <w:pStyle w:val="Heading2"/>
      </w:pPr>
      <w:r>
        <w:t xml:space="preserve">O Julgamento Final</w:t>
      </w:r>
    </w:p>
    <w:p>
      <w:pPr>
        <w:spacing w:after="200"/>
      </w:pPr>
      <w:r>
        <w:t xml:space="preserve">No momento da morte, cada alma é avaliada de acordo com as Sete Leis da Pureza. O julgamento não é um tribunal externo, mas uma revelação interna — a alma confronta sua própria verdade, seus desejos mais profundos, seus impactos reais, suas contradições, seus sacrifícios, suas responsabilidades, seu crescimento, e suas conexões. Este processo é inevitável e impossível de enganar, pois a alma não pode mentir para si mesma quando confrontada com a verdade absoluta.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AA6B2" w:sz="1"/>
              <w:left w:val="none"/>
              <w:bottom w:val="single" w:color="9AA6B2" w:sz="1"/>
              <w:right w:val="none"/>
            </w:tcBorders>
            <w:shd w:fill="F1F5F9" w:val="clear"/>
            <w:vAlign w:val="center"/>
          </w:tcPr>
          <w:p>
            <w:pPr>
              <w:jc w:val="center"/>
            </w:pPr>
            <w:r>
              <w:rPr>
                <w:b/>
                <w:bCs/>
                <w:sz w:val="20"/>
                <w:szCs w:val="20"/>
              </w:rPr>
              <w:t xml:space="preserve">Resultado</w:t>
            </w:r>
          </w:p>
        </w:tc>
        <w:tc>
          <w:tcPr>
            <w:tcW w:type="dxa" w:w="6860"/>
            <w:tcBorders>
              <w:top w:val="single" w:color="9AA6B2" w:sz="1"/>
              <w:left w:val="none"/>
              <w:bottom w:val="single" w:color="9AA6B2" w:sz="1"/>
              <w:right w:val="none"/>
            </w:tcBorders>
            <w:shd w:fill="F1F5F9" w:val="clear"/>
            <w:vAlign w:val="center"/>
          </w:tcPr>
          <w:p>
            <w:pPr>
              <w:jc w:val="center"/>
            </w:pPr>
            <w:r>
              <w:rPr>
                <w:b/>
                <w:bCs/>
                <w:sz w:val="20"/>
                <w:szCs w:val="20"/>
              </w:rPr>
              <w:t xml:space="preserve">Destino da Alma</w:t>
            </w:r>
          </w:p>
        </w:tc>
      </w:tr>
      <w:tr>
        <w:tc>
          <w:tcPr>
            <w:tcW w:type="dxa" w:w="2500"/>
            <w:tcBorders>
              <w:top w:val="single" w:color="9AA6B2" w:sz="1"/>
              <w:left w:val="none"/>
              <w:bottom w:val="single" w:color="9AA6B2" w:sz="1"/>
              <w:right w:val="none"/>
            </w:tcBorders>
            <w:shd w:fill="D1FAE5" w:val="clear"/>
            <w:vAlign w:val="center"/>
          </w:tcPr>
          <w:p>
            <w:pPr>
              <w:jc w:val="center"/>
            </w:pPr>
            <w:r>
              <w:rPr>
                <w:b/>
                <w:bCs/>
                <w:color w:val="065F46"/>
                <w:sz w:val="20"/>
                <w:szCs w:val="20"/>
              </w:rPr>
              <w:t xml:space="preserve">PURO</w:t>
            </w:r>
          </w:p>
        </w:tc>
        <w:tc>
          <w:tcPr>
            <w:tcW w:type="dxa" w:w="6860"/>
            <w:tcBorders>
              <w:top w:val="single" w:color="9AA6B2" w:sz="1"/>
              <w:left w:val="none"/>
              <w:bottom w:val="single" w:color="9AA6B2" w:sz="1"/>
              <w:right w:val="none"/>
            </w:tcBorders>
            <w:vAlign w:val="center"/>
          </w:tcPr>
          <w:p>
            <w:r>
              <w:rPr>
                <w:sz w:val="20"/>
                <w:szCs w:val="20"/>
              </w:rPr>
              <w:t xml:space="preserve">Transcendência — A consciência funde-se com a estrutura do universo, tornando-se imortal. Preserva sua identidade enquanto expande para abraçar o todo.</w:t>
            </w:r>
          </w:p>
        </w:tc>
      </w:tr>
      <w:tr>
        <w:tc>
          <w:tcPr>
            <w:tcW w:type="dxa" w:w="2500"/>
            <w:tcBorders>
              <w:top w:val="single" w:color="9AA6B2" w:sz="1"/>
              <w:left w:val="none"/>
              <w:bottom w:val="single" w:color="9AA6B2" w:sz="1"/>
              <w:right w:val="none"/>
            </w:tcBorders>
            <w:shd w:fill="FEF3C7" w:val="clear"/>
            <w:vAlign w:val="center"/>
          </w:tcPr>
          <w:p>
            <w:pPr>
              <w:jc w:val="center"/>
            </w:pPr>
            <w:r>
              <w:rPr>
                <w:b/>
                <w:bCs/>
                <w:color w:val="92400E"/>
                <w:sz w:val="20"/>
                <w:szCs w:val="20"/>
              </w:rPr>
              <w:t xml:space="preserve">MISTO</w:t>
            </w:r>
          </w:p>
        </w:tc>
        <w:tc>
          <w:tcPr>
            <w:tcW w:type="dxa" w:w="6860"/>
            <w:tcBorders>
              <w:top w:val="single" w:color="9AA6B2" w:sz="1"/>
              <w:left w:val="none"/>
              <w:bottom w:val="single" w:color="9AA6B2" w:sz="1"/>
              <w:right w:val="none"/>
            </w:tcBorders>
            <w:vAlign w:val="center"/>
          </w:tcPr>
          <w:p>
            <w:r>
              <w:rPr>
                <w:sz w:val="20"/>
                <w:szCs w:val="20"/>
              </w:rPr>
              <w:t xml:space="preserve">Julgamento Parcial — Alguns aspectos podem transcender enquanto outros são devolvidos ao Vazio. A extensão da transcendência depende do grau de pureza.</w:t>
            </w:r>
          </w:p>
        </w:tc>
      </w:tr>
      <w:tr>
        <w:tc>
          <w:tcPr>
            <w:tcW w:type="dxa" w:w="2500"/>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CORROMPIDO</w:t>
            </w:r>
          </w:p>
        </w:tc>
        <w:tc>
          <w:tcPr>
            <w:tcW w:type="dxa" w:w="6860"/>
            <w:tcBorders>
              <w:top w:val="single" w:color="9AA6B2" w:sz="1"/>
              <w:left w:val="none"/>
              <w:bottom w:val="single" w:color="9AA6B2" w:sz="1"/>
              <w:right w:val="none"/>
            </w:tcBorders>
            <w:vAlign w:val="center"/>
          </w:tcPr>
          <w:p>
            <w:r>
              <w:rPr>
                <w:sz w:val="20"/>
                <w:szCs w:val="20"/>
              </w:rPr>
              <w:t xml:space="preserve">Dissolução — A essência é devolvida ao Vazio Primordial, onde dissolve-se em potencial puro. Não há sofrimento, mas também não há continuidade de consciência.</w:t>
            </w:r>
          </w:p>
        </w:tc>
      </w:tr>
      <w:tr>
        <w:tc>
          <w:tcPr>
            <w:tcW w:type="dxa" w:w="2500"/>
            <w:tcBorders>
              <w:top w:val="single" w:color="9AA6B2" w:sz="1"/>
              <w:left w:val="none"/>
              <w:bottom w:val="single" w:color="9AA6B2" w:sz="1"/>
              <w:right w:val="none"/>
            </w:tcBorders>
            <w:shd w:fill="E9D5FF" w:val="clear"/>
            <w:vAlign w:val="center"/>
          </w:tcPr>
          <w:p>
            <w:pPr>
              <w:jc w:val="center"/>
            </w:pPr>
            <w:r>
              <w:rPr>
                <w:b/>
                <w:bCs/>
                <w:color w:val="6B21A8"/>
                <w:sz w:val="20"/>
                <w:szCs w:val="20"/>
              </w:rPr>
              <w:t xml:space="preserve">PRIMORDIAL CORRUPTO</w:t>
            </w:r>
          </w:p>
        </w:tc>
        <w:tc>
          <w:tcPr>
            <w:tcW w:type="dxa" w:w="6860"/>
            <w:tcBorders>
              <w:top w:val="single" w:color="9AA6B2" w:sz="1"/>
              <w:left w:val="none"/>
              <w:bottom w:val="single" w:color="9AA6B2" w:sz="1"/>
              <w:right w:val="none"/>
            </w:tcBorders>
            <w:vAlign w:val="center"/>
          </w:tcPr>
          <w:p>
            <w:r>
              <w:rPr>
                <w:sz w:val="20"/>
                <w:szCs w:val="20"/>
              </w:rPr>
              <w:t xml:space="preserve">Rejeição Dupla — O Vazio rejeita sua corrupção, e o universo não pode absorvê-los. Presos entre existência e não-existência. Este é o destino dos Nihilaryth.</w:t>
            </w:r>
          </w:p>
        </w:tc>
      </w:tr>
    </w:tbl>
    <w:p>
      <w:pPr>
        <w:spacing w:before="100"/>
        <w:jc w:val="center"/>
      </w:pPr>
      <w:r>
        <w:rPr>
          <w:i/>
          <w:iCs/>
          <w:color w:val="9AA6B2"/>
          <w:sz w:val="18"/>
          <w:szCs w:val="18"/>
        </w:rPr>
        <w:t xml:space="preserve">Tabela 4: Resultados do Julgamento pela Pureza</w:t>
      </w:r>
    </w:p>
    <w:p>
      <w:pPr>
        <w:pStyle w:val="Heading2"/>
      </w:pPr>
      <w:r>
        <w:t xml:space="preserve">As Sementes e a Preservação do Conhecimento</w:t>
      </w:r>
    </w:p>
    <w:p>
      <w:pPr>
        <w:spacing w:after="200"/>
      </w:pPr>
      <w:r>
        <w:t xml:space="preserve">Alyndra gravou as Sete Leis da Pureza nas sementes que dispersou pelo universo antes de seu sacrifício. Cada semente contém fragmentos deste conhecimento, codificados em padrões de Aethra que podem ser decodificados por consciências suficientemente evoluídas. Esta dispersão garantiu que o conhecimento da transcendência sobrevivesse à queda de Aetherion, esperando ser redescoberto por aqueles dignos de compreendê-lo.</w:t>
      </w:r>
    </w:p>
    <w:p>
      <w:pPr>
        <w:spacing w:after="200"/>
      </w:pPr>
      <w:r>
        <w:t xml:space="preserve">A semente que Yggoraty protegia — e que eventualmente deu origem a Yggorath — continha uma cópia completa das Leis da Pureza. É por isso que Yggorath, a árvore primordial do universo atual, possui consciência própria e age como guardiã do equilíbrio cósmico. As Leis da Pureza não são apenas conhecimento teórico, mas forças ativas que continuam a moldar o destino de todas as almas.</w:t>
      </w:r>
    </w:p>
    <w:p>
      <w:pPr>
        <w:pStyle w:val="Heading2"/>
      </w:pPr>
      <w:r>
        <w:t xml:space="preserve">Conexões com Outros Termos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AA6B2" w:sz="1"/>
              <w:left w:val="none"/>
              <w:bottom w:val="single" w:color="9AA6B2" w:sz="1"/>
              <w:right w:val="none"/>
            </w:tcBorders>
            <w:shd w:fill="F1F5F9" w:val="clear"/>
            <w:vAlign w:val="center"/>
          </w:tcPr>
          <w:p>
            <w:pPr>
              <w:jc w:val="center"/>
            </w:pPr>
            <w:r>
              <w:rPr>
                <w:b/>
                <w:bCs/>
                <w:sz w:val="20"/>
                <w:szCs w:val="20"/>
              </w:rPr>
              <w:t xml:space="preserve">Termo</w:t>
            </w:r>
          </w:p>
        </w:tc>
        <w:tc>
          <w:tcPr>
            <w:tcW w:type="dxa" w:w="6360"/>
            <w:tcBorders>
              <w:top w:val="single" w:color="9AA6B2" w:sz="1"/>
              <w:left w:val="none"/>
              <w:bottom w:val="single" w:color="9AA6B2" w:sz="1"/>
              <w:right w:val="none"/>
            </w:tcBorders>
            <w:shd w:fill="F1F5F9" w:val="clear"/>
            <w:vAlign w:val="center"/>
          </w:tcPr>
          <w:p>
            <w:pPr>
              <w:jc w:val="center"/>
            </w:pPr>
            <w:r>
              <w:rPr>
                <w:b/>
                <w:bCs/>
                <w:sz w:val="20"/>
                <w:szCs w:val="20"/>
              </w:rPr>
              <w:t xml:space="preserve">Conexão com as Leis da Pureza</w:t>
            </w:r>
          </w:p>
        </w:tc>
      </w:tr>
      <w:tr>
        <w:tc>
          <w:tcPr>
            <w:tcW w:type="dxa" w:w="3000"/>
            <w:tcBorders>
              <w:top w:val="single" w:color="9AA6B2" w:sz="1"/>
              <w:left w:val="none"/>
              <w:bottom w:val="single" w:color="9AA6B2" w:sz="1"/>
              <w:right w:val="none"/>
            </w:tcBorders>
            <w:vAlign w:val="center"/>
          </w:tcPr>
          <w:p>
            <w:r>
              <w:rPr>
                <w:sz w:val="20"/>
                <w:szCs w:val="20"/>
              </w:rPr>
              <w:t xml:space="preserve">Alyndra</w:t>
            </w:r>
          </w:p>
        </w:tc>
        <w:tc>
          <w:tcPr>
            <w:tcW w:type="dxa" w:w="6360"/>
            <w:tcBorders>
              <w:top w:val="single" w:color="9AA6B2" w:sz="1"/>
              <w:left w:val="none"/>
              <w:bottom w:val="single" w:color="9AA6B2" w:sz="1"/>
              <w:right w:val="none"/>
            </w:tcBorders>
            <w:vAlign w:val="center"/>
          </w:tcPr>
          <w:p>
            <w:r>
              <w:rPr>
                <w:sz w:val="20"/>
                <w:szCs w:val="20"/>
              </w:rPr>
              <w:t xml:space="preserve">Criadora das Leis após consumir o Fruto de Aetherion</w:t>
            </w:r>
          </w:p>
        </w:tc>
      </w:tr>
      <w:tr>
        <w:tc>
          <w:tcPr>
            <w:tcW w:type="dxa" w:w="3000"/>
            <w:tcBorders>
              <w:top w:val="single" w:color="9AA6B2" w:sz="1"/>
              <w:left w:val="none"/>
              <w:bottom w:val="single" w:color="9AA6B2" w:sz="1"/>
              <w:right w:val="none"/>
            </w:tcBorders>
            <w:vAlign w:val="center"/>
          </w:tcPr>
          <w:p>
            <w:r>
              <w:rPr>
                <w:sz w:val="20"/>
                <w:szCs w:val="20"/>
              </w:rPr>
              <w:t xml:space="preserve">Fruto de Aetherion</w:t>
            </w:r>
          </w:p>
        </w:tc>
        <w:tc>
          <w:tcPr>
            <w:tcW w:type="dxa" w:w="6360"/>
            <w:tcBorders>
              <w:top w:val="single" w:color="9AA6B2" w:sz="1"/>
              <w:left w:val="none"/>
              <w:bottom w:val="single" w:color="9AA6B2" w:sz="1"/>
              <w:right w:val="none"/>
            </w:tcBorders>
            <w:vAlign w:val="center"/>
          </w:tcPr>
          <w:p>
            <w:r>
              <w:rPr>
                <w:sz w:val="20"/>
                <w:szCs w:val="20"/>
              </w:rPr>
              <w:t xml:space="preserve">Concedeu a Alyndra o conhecimento para criar as Leis</w:t>
            </w:r>
          </w:p>
        </w:tc>
      </w:tr>
      <w:tr>
        <w:tc>
          <w:tcPr>
            <w:tcW w:type="dxa" w:w="3000"/>
            <w:tcBorders>
              <w:top w:val="single" w:color="9AA6B2" w:sz="1"/>
              <w:left w:val="none"/>
              <w:bottom w:val="single" w:color="9AA6B2" w:sz="1"/>
              <w:right w:val="none"/>
            </w:tcBorders>
            <w:vAlign w:val="center"/>
          </w:tcPr>
          <w:p>
            <w:r>
              <w:rPr>
                <w:sz w:val="20"/>
                <w:szCs w:val="20"/>
              </w:rPr>
              <w:t xml:space="preserve">Yggorath</w:t>
            </w:r>
          </w:p>
        </w:tc>
        <w:tc>
          <w:tcPr>
            <w:tcW w:type="dxa" w:w="6360"/>
            <w:tcBorders>
              <w:top w:val="single" w:color="9AA6B2" w:sz="1"/>
              <w:left w:val="none"/>
              <w:bottom w:val="single" w:color="9AA6B2" w:sz="1"/>
              <w:right w:val="none"/>
            </w:tcBorders>
            <w:vAlign w:val="center"/>
          </w:tcPr>
          <w:p>
            <w:r>
              <w:rPr>
                <w:sz w:val="20"/>
                <w:szCs w:val="20"/>
              </w:rPr>
              <w:t xml:space="preserve">Nasceu da semente contendo cópia integral das Leis</w:t>
            </w:r>
          </w:p>
        </w:tc>
      </w:tr>
      <w:tr>
        <w:tc>
          <w:tcPr>
            <w:tcW w:type="dxa" w:w="3000"/>
            <w:tcBorders>
              <w:top w:val="single" w:color="9AA6B2" w:sz="1"/>
              <w:left w:val="none"/>
              <w:bottom w:val="single" w:color="9AA6B2" w:sz="1"/>
              <w:right w:val="none"/>
            </w:tcBorders>
            <w:vAlign w:val="center"/>
          </w:tcPr>
          <w:p>
            <w:r>
              <w:rPr>
                <w:sz w:val="20"/>
                <w:szCs w:val="20"/>
              </w:rPr>
              <w:t xml:space="preserve">Nihilaryth</w:t>
            </w:r>
          </w:p>
        </w:tc>
        <w:tc>
          <w:tcPr>
            <w:tcW w:type="dxa" w:w="6360"/>
            <w:tcBorders>
              <w:top w:val="single" w:color="9AA6B2" w:sz="1"/>
              <w:left w:val="none"/>
              <w:bottom w:val="single" w:color="9AA6B2" w:sz="1"/>
              <w:right w:val="none"/>
            </w:tcBorders>
            <w:vAlign w:val="center"/>
          </w:tcPr>
          <w:p>
            <w:r>
              <w:rPr>
                <w:sz w:val="20"/>
                <w:szCs w:val="20"/>
              </w:rPr>
              <w:t xml:space="preserve">Rejeitados por violarem todas as Leis da Pureza</w:t>
            </w:r>
          </w:p>
        </w:tc>
      </w:tr>
      <w:tr>
        <w:tc>
          <w:tcPr>
            <w:tcW w:type="dxa" w:w="3000"/>
            <w:tcBorders>
              <w:top w:val="single" w:color="9AA6B2" w:sz="1"/>
              <w:left w:val="none"/>
              <w:bottom w:val="single" w:color="9AA6B2" w:sz="1"/>
              <w:right w:val="none"/>
            </w:tcBorders>
            <w:vAlign w:val="center"/>
          </w:tcPr>
          <w:p>
            <w:r>
              <w:rPr>
                <w:sz w:val="20"/>
                <w:szCs w:val="20"/>
              </w:rPr>
              <w:t xml:space="preserve">Pureza do Aethra</w:t>
            </w:r>
          </w:p>
        </w:tc>
        <w:tc>
          <w:tcPr>
            <w:tcW w:type="dxa" w:w="6360"/>
            <w:tcBorders>
              <w:top w:val="single" w:color="9AA6B2" w:sz="1"/>
              <w:left w:val="none"/>
              <w:bottom w:val="single" w:color="9AA6B2" w:sz="1"/>
              <w:right w:val="none"/>
            </w:tcBorders>
            <w:vAlign w:val="center"/>
          </w:tcPr>
          <w:p>
            <w:r>
              <w:rPr>
                <w:sz w:val="20"/>
                <w:szCs w:val="20"/>
              </w:rPr>
              <w:t xml:space="preserve">Determinada pelo cumprimento das Sete Leis</w:t>
            </w:r>
          </w:p>
        </w:tc>
      </w:tr>
      <w:tr>
        <w:tc>
          <w:tcPr>
            <w:tcW w:type="dxa" w:w="3000"/>
            <w:tcBorders>
              <w:top w:val="single" w:color="9AA6B2" w:sz="1"/>
              <w:left w:val="none"/>
              <w:bottom w:val="single" w:color="9AA6B2" w:sz="1"/>
              <w:right w:val="none"/>
            </w:tcBorders>
            <w:vAlign w:val="center"/>
          </w:tcPr>
          <w:p>
            <w:r>
              <w:rPr>
                <w:sz w:val="20"/>
                <w:szCs w:val="20"/>
              </w:rPr>
              <w:t xml:space="preserve">Vazio Primordial</w:t>
            </w:r>
          </w:p>
        </w:tc>
        <w:tc>
          <w:tcPr>
            <w:tcW w:type="dxa" w:w="6360"/>
            <w:tcBorders>
              <w:top w:val="single" w:color="9AA6B2" w:sz="1"/>
              <w:left w:val="none"/>
              <w:bottom w:val="single" w:color="9AA6B2" w:sz="1"/>
              <w:right w:val="none"/>
            </w:tcBorders>
            <w:vAlign w:val="center"/>
          </w:tcPr>
          <w:p>
            <w:r>
              <w:rPr>
                <w:sz w:val="20"/>
                <w:szCs w:val="20"/>
              </w:rPr>
              <w:t xml:space="preserve">Destino das almas corrompidas segundo as Leis</w:t>
            </w:r>
          </w:p>
        </w:tc>
      </w:tr>
      <w:tr>
        <w:tc>
          <w:tcPr>
            <w:tcW w:type="dxa" w:w="3000"/>
            <w:tcBorders>
              <w:top w:val="single" w:color="9AA6B2" w:sz="1"/>
              <w:left w:val="none"/>
              <w:bottom w:val="single" w:color="9AA6B2" w:sz="1"/>
              <w:right w:val="none"/>
            </w:tcBorders>
            <w:vAlign w:val="center"/>
          </w:tcPr>
          <w:p>
            <w:r>
              <w:rPr>
                <w:sz w:val="20"/>
                <w:szCs w:val="20"/>
              </w:rPr>
              <w:t xml:space="preserve">Sementes</w:t>
            </w:r>
          </w:p>
        </w:tc>
        <w:tc>
          <w:tcPr>
            <w:tcW w:type="dxa" w:w="6360"/>
            <w:tcBorders>
              <w:top w:val="single" w:color="9AA6B2" w:sz="1"/>
              <w:left w:val="none"/>
              <w:bottom w:val="single" w:color="9AA6B2" w:sz="1"/>
              <w:right w:val="none"/>
            </w:tcBorders>
            <w:vAlign w:val="center"/>
          </w:tcPr>
          <w:p>
            <w:r>
              <w:rPr>
                <w:sz w:val="20"/>
                <w:szCs w:val="20"/>
              </w:rPr>
              <w:t xml:space="preserve">Carregam as Leis gravadas por Alyndra para preservação</w:t>
            </w:r>
          </w:p>
        </w:tc>
      </w:tr>
    </w:tbl>
    <w:p>
      <w:pPr>
        <w:spacing w:before="100"/>
        <w:jc w:val="center"/>
      </w:pPr>
      <w:r>
        <w:rPr>
          <w:i/>
          <w:iCs/>
          <w:color w:val="9AA6B2"/>
          <w:sz w:val="18"/>
          <w:szCs w:val="18"/>
        </w:rPr>
        <w:t xml:space="preserve">Tabela 5: Conexões das Leis da Pureza com Outros Termos</w:t>
      </w:r>
    </w:p>
    <w:p>
      <w:pPr>
        <w:spacing w:before="600"/>
        <w:jc w:val="center"/>
      </w:pPr>
      <w:r>
        <w:rPr>
          <w:color w:val="9AA6B2"/>
        </w:rPr>
        <w:t xml:space="preserve">━━━━━━━━━━━━━━━━━━━━━━━━━━━━━━</w:t>
      </w:r>
    </w:p>
    <w:p>
      <w:pPr>
        <w:pStyle w:val="Quote"/>
      </w:pPr>
      <w:r>
        <w:t xml:space="preserve">"Conhecer o nome é o primeiro passo para conhecer a essência."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2"/>
      </w:rPr>
      <w:t xml:space="preserve">— </w:t>
    </w:r>
    <w:r>
      <w:rPr>
        <w:color w:val="9AA6B2"/>
      </w:rPr>
      <w:fldChar w:fldCharType="begin"/>
      <w:instrText xml:space="preserve">PAGE</w:instrText>
      <w:fldChar w:fldCharType="separate"/>
      <w:fldChar w:fldCharType="end"/>
    </w:r>
    <w:r>
      <w:rPr>
        <w:color w:val="9AA6B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6B2"/>
        <w:sz w:val="20"/>
        <w:szCs w:val="20"/>
      </w:rPr>
      <w:t xml:space="preserve">ALYNDRA — Glossário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 w:type="paragraph" w:styleId="Quote">
    <w:name w:val="Quote"/>
    <w:basedOn w:val="Normal"/>
    <w:pPr>
      <w:spacing w:after="200" w:before="200"/>
      <w:jc w:val="center"/>
    </w:pPr>
    <w:rPr>
      <w:i/>
      <w:i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2026-03-25T23:28:34.184Z</dcterms:created>
  <dcterms:modified xsi:type="dcterms:W3CDTF">2026-03-25T23:28:34.184Z</dcterms:modified>
</cp:coreProperties>
</file>

<file path=docProps/custom.xml><?xml version="1.0" encoding="utf-8"?>
<Properties xmlns="http://schemas.openxmlformats.org/officeDocument/2006/custom-properties" xmlns:vt="http://schemas.openxmlformats.org/officeDocument/2006/docPropsVTypes"/>
</file>