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Title"/>
      </w:pPr>
      <w:r>
        <w:t xml:space="preserve">ALYNDRA</w:t>
      </w:r>
    </w:p>
    <w:p>
      <w:pPr>
        <w:spacing w:before="200"/>
        <w:jc w:val="center"/>
      </w:pPr>
      <w:r>
        <w:rPr>
          <w:color w:val="2B2B2B"/>
          <w:sz w:val="32"/>
          <w:szCs w:val="32"/>
        </w:rPr>
        <w:t xml:space="preserve">Glossário Oficial do Universo</w:t>
      </w:r>
    </w:p>
    <w:p>
      <w:pPr>
        <w:spacing w:before="600"/>
        <w:jc w:val="center"/>
      </w:pPr>
      <w:r>
        <w:rPr>
          <w:color w:val="9AA6B2"/>
        </w:rPr>
        <w:t xml:space="preserve">━━━━━━━━━━━━━━━━━━━━━━━━━━━━━━</w:t>
      </w:r>
    </w:p>
    <w:p>
      <w:pPr>
        <w:spacing w:before="200"/>
        <w:jc w:val="center"/>
      </w:pPr>
      <w:r>
        <w:rPr>
          <w:i/>
          <w:iCs/>
          <w:color w:val="2B2B2B"/>
          <w:sz w:val="22"/>
          <w:szCs w:val="22"/>
        </w:rPr>
        <w:t xml:space="preserve">Definições, Terminologia e Conceitos Fundamentais</w:t>
      </w:r>
    </w:p>
    <w:p>
      <w:pPr>
        <w:spacing w:before="400"/>
        <w:jc w:val="center"/>
      </w:pPr>
      <w:r>
        <w:rPr>
          <w:color w:val="9AA6B2"/>
          <w:sz w:val="20"/>
          <w:szCs w:val="20"/>
        </w:rPr>
        <w:t xml:space="preserve">Documento de Referência — Versão 3.0</w:t>
      </w:r>
    </w:p>
    <w:p>
      <w:pPr>
        <w:pStyle w:val="Quote"/>
        <w:spacing w:before="800"/>
      </w:pPr>
      <w:r>
        <w:t xml:space="preserve">"Conhecer o nome é o primeiro passo para conhecer a essência."</w:t>
      </w:r>
    </w:p>
    <w:p>
      <w:r>
        <w:br w:type="page"/>
      </w:r>
    </w:p>
    <w:p>
      <w:pPr>
        <w:pStyle w:val="Heading1"/>
      </w:pPr>
      <w:r>
        <w:t xml:space="preserve">AETHRA</w:t>
      </w:r>
    </w:p>
    <w:p>
      <w:pPr>
        <w:pStyle w:val="Heading2"/>
      </w:pPr>
      <w:r>
        <w:t xml:space="preserve">Definição Fundamental</w:t>
      </w:r>
    </w:p>
    <w:p>
      <w:pPr>
        <w:spacing w:after="200"/>
      </w:pPr>
      <w:r>
        <w:t xml:space="preserve">Aethra é a energia vital espiritual, a manifestação física da alma e da essência de vida de todo ser vivo. É ao mesmo tempo o combustível que move as técnicas espirituais e a própria expressão material da existência consciente. Diferente de energia física ou mera força vital, o Aethra carrega consigo a identidade, memórias e natureza profunda do indivíduo — danificar o Aethra é danificar a própria alma.</w:t>
      </w:r>
    </w:p>
    <w:p>
      <w:pPr>
        <w:spacing w:after="200"/>
      </w:pPr>
      <w:r>
        <w:t xml:space="preserve">O Aethra flui de Yggorath, a Árvore Primordial, que canaliza o potencial infinito do Vazio Primordial para todos os planos da existência. Cada ser vivo recebe sua porção de Aethra no momento de sua concepção, e esta energia espiritual o acompanha até a morte — ou transcendência. Todo ser vivo possui Aethra em diferentes escalas e intensidades, desde as menores criaturas até as entidades divinas.</w:t>
      </w:r>
    </w:p>
    <w:p>
      <w:pPr>
        <w:pStyle w:val="Heading2"/>
      </w:pPr>
      <w:r>
        <w:t xml:space="preserve">Unidade de Medida: Æ (Aether)</w:t>
      </w:r>
    </w:p>
    <w:p>
      <w:pPr>
        <w:spacing w:after="200"/>
      </w:pPr>
      <w:r>
        <w:t xml:space="preserve">A unidade </w:t>
      </w:r>
      <w:r>
        <w:rPr>
          <w:b/>
          <w:bCs/>
        </w:rPr>
        <w:t xml:space="preserve">Æ</w:t>
      </w:r>
      <w:r>
        <w:t xml:space="preserve"> (lê-se "aether") é o padrão métrico para quantificação de Aethra, estabelecida pelos antigos Aetheri e refinada através de milênios. A medição considera tanto a </w:t>
      </w:r>
      <w:r>
        <w:rPr>
          <w:b/>
          <w:bCs/>
        </w:rPr>
        <w:t xml:space="preserve">quantidade</w:t>
      </w:r>
      <w:r>
        <w:t xml:space="preserve"> de energia quanto sua </w:t>
      </w:r>
      <w:r>
        <w:rPr>
          <w:b/>
          <w:bCs/>
        </w:rPr>
        <w:t xml:space="preserve">qualidade</w:t>
      </w:r>
      <w:r>
        <w:t xml:space="preserve"> e </w:t>
      </w:r>
      <w:r>
        <w:rPr>
          <w:b/>
          <w:bCs/>
        </w:rPr>
        <w:t xml:space="preserve">pureza</w:t>
      </w:r>
      <w:r>
        <w:t xml:space="preserve">. Tecnologias como o Aethrímetro permitem medição precisa em tempo real.</w:t>
      </w:r>
    </w:p>
    <w:p>
      <w:pPr>
        <w:pStyle w:val="Heading2"/>
      </w:pPr>
      <w:r>
        <w:t xml:space="preserve">Os Oito Estágios do Despertar</w:t>
      </w:r>
    </w:p>
    <w:p>
      <w:pPr>
        <w:spacing w:after="200"/>
      </w:pPr>
      <w:r>
        <w:t xml:space="preserve">A hierarquia espiritual não é meramente uma classificação de poder — representa os estágios de despertar da consciência e profundidade de conexão com a estrutura do universo. Cada estágio representa uma transformação fundamental na natureza do ser: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800"/>
        <w:gridCol w:w="4860"/>
      </w:tblGrid>
      <w:tr>
        <w:trPr>
          <w:tblHeader/>
        </w:trPr>
        <w:tc>
          <w:tcPr>
            <w:tcW w:type="dxa" w:w="1200"/>
            <w:tcBorders>
              <w:top w:val="single" w:color="9AA6B2" w:sz="1"/>
              <w:left w:val="none"/>
              <w:bottom w:val="single" w:color="9AA6B2" w:sz="1"/>
              <w:right w:val="none"/>
            </w:tcBorders>
            <w:shd w:fill="F1F5F9" w:val="clear"/>
            <w:vAlign w:val="center"/>
          </w:tcPr>
          <w:p>
            <w:pPr>
              <w:jc w:val="center"/>
            </w:pPr>
            <w:r>
              <w:rPr>
                <w:b/>
                <w:bCs/>
                <w:sz w:val="20"/>
                <w:szCs w:val="20"/>
              </w:rPr>
              <w:t xml:space="preserve">Estágio</w:t>
            </w:r>
          </w:p>
        </w:tc>
        <w:tc>
          <w:tcPr>
            <w:tcW w:type="dxa" w:w="1500"/>
            <w:tcBorders>
              <w:top w:val="single" w:color="9AA6B2" w:sz="1"/>
              <w:left w:val="none"/>
              <w:bottom w:val="single" w:color="9AA6B2" w:sz="1"/>
              <w:right w:val="none"/>
            </w:tcBorders>
            <w:shd w:fill="F1F5F9" w:val="clear"/>
            <w:vAlign w:val="center"/>
          </w:tcPr>
          <w:p>
            <w:pPr>
              <w:jc w:val="center"/>
            </w:pPr>
            <w:r>
              <w:rPr>
                <w:b/>
                <w:bCs/>
                <w:sz w:val="20"/>
                <w:szCs w:val="20"/>
              </w:rPr>
              <w:t xml:space="preserve">Faixa de Æ</w:t>
            </w:r>
          </w:p>
        </w:tc>
        <w:tc>
          <w:tcPr>
            <w:tcW w:type="dxa" w:w="1800"/>
            <w:tcBorders>
              <w:top w:val="single" w:color="9AA6B2" w:sz="1"/>
              <w:left w:val="none"/>
              <w:bottom w:val="single" w:color="9AA6B2" w:sz="1"/>
              <w:right w:val="none"/>
            </w:tcBorders>
            <w:shd w:fill="F1F5F9" w:val="clear"/>
            <w:vAlign w:val="center"/>
          </w:tcPr>
          <w:p>
            <w:pPr>
              <w:jc w:val="center"/>
            </w:pPr>
            <w:r>
              <w:rPr>
                <w:b/>
                <w:bCs/>
                <w:sz w:val="20"/>
                <w:szCs w:val="20"/>
              </w:rPr>
              <w:t xml:space="preserve">Nome</w:t>
            </w:r>
          </w:p>
        </w:tc>
        <w:tc>
          <w:tcPr>
            <w:tcW w:type="dxa" w:w="4860"/>
            <w:tcBorders>
              <w:top w:val="single" w:color="9AA6B2" w:sz="1"/>
              <w:left w:val="none"/>
              <w:bottom w:val="single" w:color="9AA6B2" w:sz="1"/>
              <w:right w:val="none"/>
            </w:tcBorders>
            <w:shd w:fill="F1F5F9" w:val="clear"/>
            <w:vAlign w:val="center"/>
          </w:tcPr>
          <w:p>
            <w:pPr>
              <w:jc w:val="center"/>
            </w:pPr>
            <w:r>
              <w:rPr>
                <w:b/>
                <w:bCs/>
                <w:sz w:val="20"/>
                <w:szCs w:val="20"/>
              </w:rPr>
              <w:t xml:space="preserve">Significado Místico</w:t>
            </w:r>
          </w:p>
        </w:tc>
      </w:tr>
      <w:tr>
        <w:tc>
          <w:tcPr>
            <w:tcBorders>
              <w:top w:val="single" w:color="9AA6B2" w:sz="1"/>
              <w:left w:val="none"/>
              <w:bottom w:val="single" w:color="9AA6B2" w:sz="1"/>
              <w:right w:val="none"/>
            </w:tcBorders>
            <w:vAlign w:val="center"/>
          </w:tcPr>
          <w:p>
            <w:pPr>
              <w:jc w:val="center"/>
            </w:pPr>
            <w:r>
              <w:rPr>
                <w:b/>
                <w:bCs/>
                <w:sz w:val="20"/>
                <w:szCs w:val="20"/>
              </w:rPr>
              <w:t xml:space="preserve">I</w:t>
            </w:r>
          </w:p>
        </w:tc>
        <w:tc>
          <w:tcPr>
            <w:tcBorders>
              <w:top w:val="single" w:color="9AA6B2" w:sz="1"/>
              <w:left w:val="none"/>
              <w:bottom w:val="single" w:color="9AA6B2" w:sz="1"/>
              <w:right w:val="none"/>
            </w:tcBorders>
            <w:vAlign w:val="center"/>
          </w:tcPr>
          <w:p>
            <w:pPr>
              <w:jc w:val="center"/>
            </w:pPr>
            <w:r>
              <w:rPr>
                <w:sz w:val="20"/>
                <w:szCs w:val="20"/>
              </w:rPr>
              <w:t xml:space="preserve">0 - 50 Æ</w:t>
            </w:r>
          </w:p>
        </w:tc>
        <w:tc>
          <w:tcPr>
            <w:tcBorders>
              <w:top w:val="single" w:color="9AA6B2" w:sz="1"/>
              <w:left w:val="none"/>
              <w:bottom w:val="single" w:color="9AA6B2" w:sz="1"/>
              <w:right w:val="none"/>
            </w:tcBorders>
            <w:vAlign w:val="center"/>
          </w:tcPr>
          <w:p>
            <w:pPr>
              <w:jc w:val="center"/>
            </w:pPr>
            <w:r>
              <w:rPr>
                <w:sz w:val="20"/>
                <w:szCs w:val="20"/>
              </w:rPr>
              <w:t xml:space="preserve">Latente</w:t>
            </w:r>
          </w:p>
        </w:tc>
        <w:tc>
          <w:tcPr>
            <w:tcBorders>
              <w:top w:val="single" w:color="9AA6B2" w:sz="1"/>
              <w:left w:val="none"/>
              <w:bottom w:val="single" w:color="9AA6B2" w:sz="1"/>
              <w:right w:val="none"/>
            </w:tcBorders>
          </w:tcPr>
          <w:p>
            <w:r>
              <w:rPr>
                <w:sz w:val="20"/>
                <w:szCs w:val="20"/>
              </w:rPr>
              <w:t xml:space="preserve">A alma existe mas permanece adormecida</w:t>
            </w:r>
          </w:p>
        </w:tc>
      </w:tr>
      <w:tr>
        <w:tc>
          <w:tcPr>
            <w:tcBorders>
              <w:top w:val="single" w:color="9AA6B2" w:sz="1"/>
              <w:left w:val="none"/>
              <w:bottom w:val="single" w:color="9AA6B2" w:sz="1"/>
              <w:right w:val="none"/>
            </w:tcBorders>
            <w:vAlign w:val="center"/>
          </w:tcPr>
          <w:p>
            <w:pPr>
              <w:jc w:val="center"/>
            </w:pPr>
            <w:r>
              <w:rPr>
                <w:b/>
                <w:bCs/>
                <w:sz w:val="20"/>
                <w:szCs w:val="20"/>
              </w:rPr>
              <w:t xml:space="preserve">II</w:t>
            </w:r>
          </w:p>
        </w:tc>
        <w:tc>
          <w:tcPr>
            <w:tcBorders>
              <w:top w:val="single" w:color="9AA6B2" w:sz="1"/>
              <w:left w:val="none"/>
              <w:bottom w:val="single" w:color="9AA6B2" w:sz="1"/>
              <w:right w:val="none"/>
            </w:tcBorders>
            <w:vAlign w:val="center"/>
          </w:tcPr>
          <w:p>
            <w:pPr>
              <w:jc w:val="center"/>
            </w:pPr>
            <w:r>
              <w:rPr>
                <w:sz w:val="20"/>
                <w:szCs w:val="20"/>
              </w:rPr>
              <w:t xml:space="preserve">50 - 200 Æ</w:t>
            </w:r>
          </w:p>
        </w:tc>
        <w:tc>
          <w:tcPr>
            <w:tcBorders>
              <w:top w:val="single" w:color="9AA6B2" w:sz="1"/>
              <w:left w:val="none"/>
              <w:bottom w:val="single" w:color="9AA6B2" w:sz="1"/>
              <w:right w:val="none"/>
            </w:tcBorders>
            <w:vAlign w:val="center"/>
          </w:tcPr>
          <w:p>
            <w:pPr>
              <w:jc w:val="center"/>
            </w:pPr>
            <w:r>
              <w:rPr>
                <w:sz w:val="20"/>
                <w:szCs w:val="20"/>
              </w:rPr>
              <w:t xml:space="preserve">Despertante</w:t>
            </w:r>
          </w:p>
        </w:tc>
        <w:tc>
          <w:tcPr>
            <w:tcBorders>
              <w:top w:val="single" w:color="9AA6B2" w:sz="1"/>
              <w:left w:val="none"/>
              <w:bottom w:val="single" w:color="9AA6B2" w:sz="1"/>
              <w:right w:val="none"/>
            </w:tcBorders>
          </w:tcPr>
          <w:p>
            <w:r>
              <w:rPr>
                <w:sz w:val="20"/>
                <w:szCs w:val="20"/>
              </w:rPr>
              <w:t xml:space="preserve">Primeira centelha de consciência espiritual</w:t>
            </w:r>
          </w:p>
        </w:tc>
      </w:tr>
      <w:tr>
        <w:tc>
          <w:tcPr>
            <w:tcBorders>
              <w:top w:val="single" w:color="9AA6B2" w:sz="1"/>
              <w:left w:val="none"/>
              <w:bottom w:val="single" w:color="9AA6B2" w:sz="1"/>
              <w:right w:val="none"/>
            </w:tcBorders>
            <w:vAlign w:val="center"/>
          </w:tcPr>
          <w:p>
            <w:pPr>
              <w:jc w:val="center"/>
            </w:pPr>
            <w:r>
              <w:rPr>
                <w:b/>
                <w:bCs/>
                <w:sz w:val="20"/>
                <w:szCs w:val="20"/>
              </w:rPr>
              <w:t xml:space="preserve">III</w:t>
            </w:r>
          </w:p>
        </w:tc>
        <w:tc>
          <w:tcPr>
            <w:tcBorders>
              <w:top w:val="single" w:color="9AA6B2" w:sz="1"/>
              <w:left w:val="none"/>
              <w:bottom w:val="single" w:color="9AA6B2" w:sz="1"/>
              <w:right w:val="none"/>
            </w:tcBorders>
            <w:vAlign w:val="center"/>
          </w:tcPr>
          <w:p>
            <w:pPr>
              <w:jc w:val="center"/>
            </w:pPr>
            <w:r>
              <w:rPr>
                <w:sz w:val="20"/>
                <w:szCs w:val="20"/>
              </w:rPr>
              <w:t xml:space="preserve">200 - 500 Æ</w:t>
            </w:r>
          </w:p>
        </w:tc>
        <w:tc>
          <w:tcPr>
            <w:tcBorders>
              <w:top w:val="single" w:color="9AA6B2" w:sz="1"/>
              <w:left w:val="none"/>
              <w:bottom w:val="single" w:color="9AA6B2" w:sz="1"/>
              <w:right w:val="none"/>
            </w:tcBorders>
            <w:vAlign w:val="center"/>
          </w:tcPr>
          <w:p>
            <w:pPr>
              <w:jc w:val="center"/>
            </w:pPr>
            <w:r>
              <w:rPr>
                <w:sz w:val="20"/>
                <w:szCs w:val="20"/>
              </w:rPr>
              <w:t xml:space="preserve">Convergente</w:t>
            </w:r>
          </w:p>
        </w:tc>
        <w:tc>
          <w:tcPr>
            <w:tcBorders>
              <w:top w:val="single" w:color="9AA6B2" w:sz="1"/>
              <w:left w:val="none"/>
              <w:bottom w:val="single" w:color="9AA6B2" w:sz="1"/>
              <w:right w:val="none"/>
            </w:tcBorders>
          </w:tcPr>
          <w:p>
            <w:r>
              <w:rPr>
                <w:sz w:val="20"/>
                <w:szCs w:val="20"/>
              </w:rPr>
              <w:t xml:space="preserve">Aethra converge para centros energéticos</w:t>
            </w:r>
          </w:p>
        </w:tc>
      </w:tr>
      <w:tr>
        <w:tc>
          <w:tcPr>
            <w:tcBorders>
              <w:top w:val="single" w:color="9AA6B2" w:sz="1"/>
              <w:left w:val="none"/>
              <w:bottom w:val="single" w:color="9AA6B2" w:sz="1"/>
              <w:right w:val="none"/>
            </w:tcBorders>
            <w:vAlign w:val="center"/>
          </w:tcPr>
          <w:p>
            <w:pPr>
              <w:jc w:val="center"/>
            </w:pPr>
            <w:r>
              <w:rPr>
                <w:b/>
                <w:bCs/>
                <w:sz w:val="20"/>
                <w:szCs w:val="20"/>
              </w:rPr>
              <w:t xml:space="preserve">IV</w:t>
            </w:r>
          </w:p>
        </w:tc>
        <w:tc>
          <w:tcPr>
            <w:tcBorders>
              <w:top w:val="single" w:color="9AA6B2" w:sz="1"/>
              <w:left w:val="none"/>
              <w:bottom w:val="single" w:color="9AA6B2" w:sz="1"/>
              <w:right w:val="none"/>
            </w:tcBorders>
            <w:vAlign w:val="center"/>
          </w:tcPr>
          <w:p>
            <w:pPr>
              <w:jc w:val="center"/>
            </w:pPr>
            <w:r>
              <w:rPr>
                <w:sz w:val="20"/>
                <w:szCs w:val="20"/>
              </w:rPr>
              <w:t xml:space="preserve">500 - 1.000 Æ</w:t>
            </w:r>
          </w:p>
        </w:tc>
        <w:tc>
          <w:tcPr>
            <w:tcBorders>
              <w:top w:val="single" w:color="9AA6B2" w:sz="1"/>
              <w:left w:val="none"/>
              <w:bottom w:val="single" w:color="9AA6B2" w:sz="1"/>
              <w:right w:val="none"/>
            </w:tcBorders>
            <w:vAlign w:val="center"/>
          </w:tcPr>
          <w:p>
            <w:pPr>
              <w:jc w:val="center"/>
            </w:pPr>
            <w:r>
              <w:rPr>
                <w:sz w:val="20"/>
                <w:szCs w:val="20"/>
              </w:rPr>
              <w:t xml:space="preserve">Cultivador</w:t>
            </w:r>
          </w:p>
        </w:tc>
        <w:tc>
          <w:tcPr>
            <w:tcBorders>
              <w:top w:val="single" w:color="9AA6B2" w:sz="1"/>
              <w:left w:val="none"/>
              <w:bottom w:val="single" w:color="9AA6B2" w:sz="1"/>
              <w:right w:val="none"/>
            </w:tcBorders>
          </w:tcPr>
          <w:p>
            <w:r>
              <w:rPr>
                <w:sz w:val="20"/>
                <w:szCs w:val="20"/>
              </w:rPr>
              <w:t xml:space="preserve">Treinamento formal, técnicas podem ser aprendidas</w:t>
            </w:r>
          </w:p>
        </w:tc>
      </w:tr>
      <w:tr>
        <w:tc>
          <w:tcPr>
            <w:tcBorders>
              <w:top w:val="single" w:color="9AA6B2" w:sz="1"/>
              <w:left w:val="none"/>
              <w:bottom w:val="single" w:color="9AA6B2" w:sz="1"/>
              <w:right w:val="none"/>
            </w:tcBorders>
            <w:vAlign w:val="center"/>
          </w:tcPr>
          <w:p>
            <w:pPr>
              <w:jc w:val="center"/>
            </w:pPr>
            <w:r>
              <w:rPr>
                <w:b/>
                <w:bCs/>
                <w:sz w:val="20"/>
                <w:szCs w:val="20"/>
              </w:rPr>
              <w:t xml:space="preserve">V</w:t>
            </w:r>
          </w:p>
        </w:tc>
        <w:tc>
          <w:tcPr>
            <w:tcBorders>
              <w:top w:val="single" w:color="9AA6B2" w:sz="1"/>
              <w:left w:val="none"/>
              <w:bottom w:val="single" w:color="9AA6B2" w:sz="1"/>
              <w:right w:val="none"/>
            </w:tcBorders>
            <w:vAlign w:val="center"/>
          </w:tcPr>
          <w:p>
            <w:pPr>
              <w:jc w:val="center"/>
            </w:pPr>
            <w:r>
              <w:rPr>
                <w:sz w:val="20"/>
                <w:szCs w:val="20"/>
              </w:rPr>
              <w:t xml:space="preserve">1.000 - 5.000 Æ</w:t>
            </w:r>
          </w:p>
        </w:tc>
        <w:tc>
          <w:tcPr>
            <w:tcBorders>
              <w:top w:val="single" w:color="9AA6B2" w:sz="1"/>
              <w:left w:val="none"/>
              <w:bottom w:val="single" w:color="9AA6B2" w:sz="1"/>
              <w:right w:val="none"/>
            </w:tcBorders>
            <w:vAlign w:val="center"/>
          </w:tcPr>
          <w:p>
            <w:pPr>
              <w:jc w:val="center"/>
            </w:pPr>
            <w:r>
              <w:rPr>
                <w:sz w:val="20"/>
                <w:szCs w:val="20"/>
              </w:rPr>
              <w:t xml:space="preserve">Transcendente</w:t>
            </w:r>
          </w:p>
        </w:tc>
        <w:tc>
          <w:tcPr>
            <w:tcBorders>
              <w:top w:val="single" w:color="9AA6B2" w:sz="1"/>
              <w:left w:val="none"/>
              <w:bottom w:val="single" w:color="9AA6B2" w:sz="1"/>
              <w:right w:val="none"/>
            </w:tcBorders>
          </w:tcPr>
          <w:p>
            <w:r>
              <w:rPr>
                <w:sz w:val="20"/>
                <w:szCs w:val="20"/>
              </w:rPr>
              <w:t xml:space="preserve">Aethra transcende limitações físicas</w:t>
            </w:r>
          </w:p>
        </w:tc>
      </w:tr>
      <w:tr>
        <w:tc>
          <w:tcPr>
            <w:tcBorders>
              <w:top w:val="single" w:color="9AA6B2" w:sz="1"/>
              <w:left w:val="none"/>
              <w:bottom w:val="single" w:color="9AA6B2" w:sz="1"/>
              <w:right w:val="none"/>
            </w:tcBorders>
            <w:vAlign w:val="center"/>
          </w:tcPr>
          <w:p>
            <w:pPr>
              <w:jc w:val="center"/>
            </w:pPr>
            <w:r>
              <w:rPr>
                <w:b/>
                <w:bCs/>
                <w:sz w:val="20"/>
                <w:szCs w:val="20"/>
              </w:rPr>
              <w:t xml:space="preserve">VI</w:t>
            </w:r>
          </w:p>
        </w:tc>
        <w:tc>
          <w:tcPr>
            <w:tcBorders>
              <w:top w:val="single" w:color="9AA6B2" w:sz="1"/>
              <w:left w:val="none"/>
              <w:bottom w:val="single" w:color="9AA6B2" w:sz="1"/>
              <w:right w:val="none"/>
            </w:tcBorders>
            <w:vAlign w:val="center"/>
          </w:tcPr>
          <w:p>
            <w:pPr>
              <w:jc w:val="center"/>
            </w:pPr>
            <w:r>
              <w:rPr>
                <w:sz w:val="20"/>
                <w:szCs w:val="20"/>
              </w:rPr>
              <w:t xml:space="preserve">5.000 - 50.000 Æ</w:t>
            </w:r>
          </w:p>
        </w:tc>
        <w:tc>
          <w:tcPr>
            <w:tcBorders>
              <w:top w:val="single" w:color="9AA6B2" w:sz="1"/>
              <w:left w:val="none"/>
              <w:bottom w:val="single" w:color="9AA6B2" w:sz="1"/>
              <w:right w:val="none"/>
            </w:tcBorders>
            <w:vAlign w:val="center"/>
          </w:tcPr>
          <w:p>
            <w:pPr>
              <w:jc w:val="center"/>
            </w:pPr>
            <w:r>
              <w:rPr>
                <w:sz w:val="20"/>
                <w:szCs w:val="20"/>
              </w:rPr>
              <w:t xml:space="preserve">Luminar</w:t>
            </w:r>
          </w:p>
        </w:tc>
        <w:tc>
          <w:tcPr>
            <w:tcBorders>
              <w:top w:val="single" w:color="9AA6B2" w:sz="1"/>
              <w:left w:val="none"/>
              <w:bottom w:val="single" w:color="9AA6B2" w:sz="1"/>
              <w:right w:val="none"/>
            </w:tcBorders>
          </w:tcPr>
          <w:p>
            <w:r>
              <w:rPr>
                <w:sz w:val="20"/>
                <w:szCs w:val="20"/>
              </w:rPr>
              <w:t xml:space="preserve">"Pequeno sol" espiritual, irradia Aethra</w:t>
            </w:r>
          </w:p>
        </w:tc>
      </w:tr>
      <w:tr>
        <w:tc>
          <w:tcPr>
            <w:tcBorders>
              <w:top w:val="single" w:color="9AA6B2" w:sz="1"/>
              <w:left w:val="none"/>
              <w:bottom w:val="single" w:color="9AA6B2" w:sz="1"/>
              <w:right w:val="none"/>
            </w:tcBorders>
            <w:vAlign w:val="center"/>
          </w:tcPr>
          <w:p>
            <w:pPr>
              <w:jc w:val="center"/>
            </w:pPr>
            <w:r>
              <w:rPr>
                <w:b/>
                <w:bCs/>
                <w:sz w:val="20"/>
                <w:szCs w:val="20"/>
              </w:rPr>
              <w:t xml:space="preserve">VII</w:t>
            </w:r>
          </w:p>
        </w:tc>
        <w:tc>
          <w:tcPr>
            <w:tcBorders>
              <w:top w:val="single" w:color="9AA6B2" w:sz="1"/>
              <w:left w:val="none"/>
              <w:bottom w:val="single" w:color="9AA6B2" w:sz="1"/>
              <w:right w:val="none"/>
            </w:tcBorders>
            <w:vAlign w:val="center"/>
          </w:tcPr>
          <w:p>
            <w:pPr>
              <w:jc w:val="center"/>
            </w:pPr>
            <w:r>
              <w:rPr>
                <w:sz w:val="20"/>
                <w:szCs w:val="20"/>
              </w:rPr>
              <w:t xml:space="preserve">50.000 - 500.000 Æ</w:t>
            </w:r>
          </w:p>
        </w:tc>
        <w:tc>
          <w:tcPr>
            <w:tcBorders>
              <w:top w:val="single" w:color="9AA6B2" w:sz="1"/>
              <w:left w:val="none"/>
              <w:bottom w:val="single" w:color="9AA6B2" w:sz="1"/>
              <w:right w:val="none"/>
            </w:tcBorders>
            <w:vAlign w:val="center"/>
          </w:tcPr>
          <w:p>
            <w:pPr>
              <w:jc w:val="center"/>
            </w:pPr>
            <w:r>
              <w:rPr>
                <w:sz w:val="20"/>
                <w:szCs w:val="20"/>
              </w:rPr>
              <w:t xml:space="preserve">Primordial</w:t>
            </w:r>
          </w:p>
        </w:tc>
        <w:tc>
          <w:tcPr>
            <w:tcBorders>
              <w:top w:val="single" w:color="9AA6B2" w:sz="1"/>
              <w:left w:val="none"/>
              <w:bottom w:val="single" w:color="9AA6B2" w:sz="1"/>
              <w:right w:val="none"/>
            </w:tcBorders>
          </w:tcPr>
          <w:p>
            <w:r>
              <w:rPr>
                <w:sz w:val="20"/>
                <w:szCs w:val="20"/>
              </w:rPr>
              <w:t xml:space="preserve">Conexão direta com forças primordiais</w:t>
            </w:r>
          </w:p>
        </w:tc>
      </w:tr>
      <w:tr>
        <w:tc>
          <w:tcPr>
            <w:tcBorders>
              <w:top w:val="single" w:color="9AA6B2" w:sz="1"/>
              <w:left w:val="none"/>
              <w:bottom w:val="single" w:color="9AA6B2" w:sz="1"/>
              <w:right w:val="none"/>
            </w:tcBorders>
            <w:vAlign w:val="center"/>
          </w:tcPr>
          <w:p>
            <w:pPr>
              <w:jc w:val="center"/>
            </w:pPr>
            <w:r>
              <w:rPr>
                <w:b/>
                <w:bCs/>
                <w:sz w:val="20"/>
                <w:szCs w:val="20"/>
              </w:rPr>
              <w:t xml:space="preserve">VIII</w:t>
            </w:r>
          </w:p>
        </w:tc>
        <w:tc>
          <w:tcPr>
            <w:tcBorders>
              <w:top w:val="single" w:color="9AA6B2" w:sz="1"/>
              <w:left w:val="none"/>
              <w:bottom w:val="single" w:color="9AA6B2" w:sz="1"/>
              <w:right w:val="none"/>
            </w:tcBorders>
            <w:vAlign w:val="center"/>
          </w:tcPr>
          <w:p>
            <w:pPr>
              <w:jc w:val="center"/>
            </w:pPr>
            <w:r>
              <w:rPr>
                <w:sz w:val="20"/>
                <w:szCs w:val="20"/>
              </w:rPr>
              <w:t xml:space="preserve">500.000+ Æ</w:t>
            </w:r>
          </w:p>
        </w:tc>
        <w:tc>
          <w:tcPr>
            <w:tcBorders>
              <w:top w:val="single" w:color="9AA6B2" w:sz="1"/>
              <w:left w:val="none"/>
              <w:bottom w:val="single" w:color="9AA6B2" w:sz="1"/>
              <w:right w:val="none"/>
            </w:tcBorders>
            <w:vAlign w:val="center"/>
          </w:tcPr>
          <w:p>
            <w:pPr>
              <w:jc w:val="center"/>
            </w:pPr>
            <w:r>
              <w:rPr>
                <w:sz w:val="20"/>
                <w:szCs w:val="20"/>
              </w:rPr>
              <w:t xml:space="preserve">Divino</w:t>
            </w:r>
          </w:p>
        </w:tc>
        <w:tc>
          <w:tcPr>
            <w:tcBorders>
              <w:top w:val="single" w:color="9AA6B2" w:sz="1"/>
              <w:left w:val="none"/>
              <w:bottom w:val="single" w:color="9AA6B2" w:sz="1"/>
              <w:right w:val="none"/>
            </w:tcBorders>
          </w:tcPr>
          <w:p>
            <w:r>
              <w:rPr>
                <w:sz w:val="20"/>
                <w:szCs w:val="20"/>
              </w:rPr>
              <w:t xml:space="preserve">Ilyos, Nyxalor, Yggorath — um com a existência</w:t>
            </w:r>
          </w:p>
        </w:tc>
      </w:tr>
    </w:tbl>
    <w:p>
      <w:pPr>
        <w:spacing w:before="100"/>
        <w:jc w:val="center"/>
      </w:pPr>
      <w:r>
        <w:rPr>
          <w:i/>
          <w:iCs/>
          <w:color w:val="9AA6B2"/>
          <w:sz w:val="18"/>
          <w:szCs w:val="18"/>
        </w:rPr>
        <w:t xml:space="preserve">Tabela 1: Os Oito Estágios do Despertar</w:t>
      </w:r>
    </w:p>
    <w:p>
      <w:pPr>
        <w:pStyle w:val="Heading2"/>
      </w:pPr>
      <w:r>
        <w:t xml:space="preserve">Esgotamento e A Regra do Zero</w:t>
      </w:r>
    </w:p>
    <w:p>
      <w:pPr>
        <w:spacing w:after="200"/>
      </w:pPr>
      <w:r>
        <w:t xml:space="preserve">O Aethra pode ser "queimado" para amplificar poder, mas o esgotamento traz consequências severas: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9AA6B2" w:sz="1"/>
              <w:left w:val="none"/>
              <w:bottom w:val="single" w:color="9AA6B2" w:sz="1"/>
              <w:right w:val="none"/>
            </w:tcBorders>
            <w:shd w:fill="F1F5F9" w:val="clear"/>
            <w:vAlign w:val="center"/>
          </w:tcPr>
          <w:p>
            <w:pPr>
              <w:jc w:val="center"/>
            </w:pPr>
            <w:r>
              <w:rPr>
                <w:b/>
                <w:bCs/>
                <w:sz w:val="20"/>
                <w:szCs w:val="20"/>
              </w:rPr>
              <w:t xml:space="preserve">Nível</w:t>
            </w:r>
          </w:p>
        </w:tc>
        <w:tc>
          <w:tcPr>
            <w:tcBorders>
              <w:top w:val="single" w:color="9AA6B2" w:sz="1"/>
              <w:left w:val="none"/>
              <w:bottom w:val="single" w:color="9AA6B2" w:sz="1"/>
              <w:right w:val="none"/>
            </w:tcBorders>
            <w:shd w:fill="F1F5F9" w:val="clear"/>
            <w:vAlign w:val="center"/>
          </w:tcPr>
          <w:p>
            <w:pPr>
              <w:jc w:val="center"/>
            </w:pPr>
            <w:r>
              <w:rPr>
                <w:b/>
                <w:bCs/>
                <w:sz w:val="20"/>
                <w:szCs w:val="20"/>
              </w:rPr>
              <w:t xml:space="preserve">Æ Restante</w:t>
            </w:r>
          </w:p>
        </w:tc>
        <w:tc>
          <w:tcPr>
            <w:tcBorders>
              <w:top w:val="single" w:color="9AA6B2" w:sz="1"/>
              <w:left w:val="none"/>
              <w:bottom w:val="single" w:color="9AA6B2" w:sz="1"/>
              <w:right w:val="none"/>
            </w:tcBorders>
            <w:shd w:fill="F1F5F9" w:val="clear"/>
            <w:vAlign w:val="center"/>
          </w:tcPr>
          <w:p>
            <w:pPr>
              <w:jc w:val="center"/>
            </w:pPr>
            <w:r>
              <w:rPr>
                <w:b/>
                <w:bCs/>
                <w:sz w:val="20"/>
                <w:szCs w:val="20"/>
              </w:rPr>
              <w:t xml:space="preserve">Consequência</w:t>
            </w:r>
          </w:p>
        </w:tc>
      </w:tr>
      <w:tr>
        <w:tc>
          <w:tcPr>
            <w:tcBorders>
              <w:top w:val="single" w:color="9AA6B2" w:sz="1"/>
              <w:left w:val="none"/>
              <w:bottom w:val="single" w:color="9AA6B2" w:sz="1"/>
              <w:right w:val="none"/>
            </w:tcBorders>
            <w:vAlign w:val="center"/>
          </w:tcPr>
          <w:p>
            <w:pPr>
              <w:jc w:val="center"/>
            </w:pPr>
            <w:r>
              <w:rPr>
                <w:sz w:val="20"/>
                <w:szCs w:val="20"/>
              </w:rPr>
              <w:t xml:space="preserve">Leve</w:t>
            </w:r>
          </w:p>
        </w:tc>
        <w:tc>
          <w:tcPr>
            <w:tcBorders>
              <w:top w:val="single" w:color="9AA6B2" w:sz="1"/>
              <w:left w:val="none"/>
              <w:bottom w:val="single" w:color="9AA6B2" w:sz="1"/>
              <w:right w:val="none"/>
            </w:tcBorders>
            <w:vAlign w:val="center"/>
          </w:tcPr>
          <w:p>
            <w:pPr>
              <w:jc w:val="center"/>
            </w:pPr>
            <w:r>
              <w:rPr>
                <w:sz w:val="20"/>
                <w:szCs w:val="20"/>
              </w:rPr>
              <w:t xml:space="preserve">60-80%</w:t>
            </w:r>
          </w:p>
        </w:tc>
        <w:tc>
          <w:tcPr>
            <w:tcBorders>
              <w:top w:val="single" w:color="9AA6B2" w:sz="1"/>
              <w:left w:val="none"/>
              <w:bottom w:val="single" w:color="9AA6B2" w:sz="1"/>
              <w:right w:val="none"/>
            </w:tcBorders>
          </w:tcPr>
          <w:p>
            <w:r>
              <w:rPr>
                <w:sz w:val="20"/>
                <w:szCs w:val="20"/>
              </w:rPr>
              <w:t xml:space="preserve">Fadiga, recuperação em horas</w:t>
            </w:r>
          </w:p>
        </w:tc>
      </w:tr>
      <w:tr>
        <w:tc>
          <w:tcPr>
            <w:tcBorders>
              <w:top w:val="single" w:color="9AA6B2" w:sz="1"/>
              <w:left w:val="none"/>
              <w:bottom w:val="single" w:color="9AA6B2" w:sz="1"/>
              <w:right w:val="none"/>
            </w:tcBorders>
            <w:vAlign w:val="center"/>
          </w:tcPr>
          <w:p>
            <w:pPr>
              <w:jc w:val="center"/>
            </w:pPr>
            <w:r>
              <w:rPr>
                <w:sz w:val="20"/>
                <w:szCs w:val="20"/>
              </w:rPr>
              <w:t xml:space="preserve">Moderado</w:t>
            </w:r>
          </w:p>
        </w:tc>
        <w:tc>
          <w:tcPr>
            <w:tcBorders>
              <w:top w:val="single" w:color="9AA6B2" w:sz="1"/>
              <w:left w:val="none"/>
              <w:bottom w:val="single" w:color="9AA6B2" w:sz="1"/>
              <w:right w:val="none"/>
            </w:tcBorders>
            <w:vAlign w:val="center"/>
          </w:tcPr>
          <w:p>
            <w:pPr>
              <w:jc w:val="center"/>
            </w:pPr>
            <w:r>
              <w:rPr>
                <w:sz w:val="20"/>
                <w:szCs w:val="20"/>
              </w:rPr>
              <w:t xml:space="preserve">40-60%</w:t>
            </w:r>
          </w:p>
        </w:tc>
        <w:tc>
          <w:tcPr>
            <w:tcBorders>
              <w:top w:val="single" w:color="9AA6B2" w:sz="1"/>
              <w:left w:val="none"/>
              <w:bottom w:val="single" w:color="9AA6B2" w:sz="1"/>
              <w:right w:val="none"/>
            </w:tcBorders>
          </w:tcPr>
          <w:p>
            <w:r>
              <w:rPr>
                <w:sz w:val="20"/>
                <w:szCs w:val="20"/>
              </w:rPr>
              <w:t xml:space="preserve">Exaustão, recuperação em dias</w:t>
            </w:r>
          </w:p>
        </w:tc>
      </w:tr>
      <w:tr>
        <w:tc>
          <w:tcPr>
            <w:tcBorders>
              <w:top w:val="single" w:color="9AA6B2" w:sz="1"/>
              <w:left w:val="none"/>
              <w:bottom w:val="single" w:color="9AA6B2" w:sz="1"/>
              <w:right w:val="none"/>
            </w:tcBorders>
            <w:vAlign w:val="center"/>
          </w:tcPr>
          <w:p>
            <w:pPr>
              <w:jc w:val="center"/>
            </w:pPr>
            <w:r>
              <w:rPr>
                <w:sz w:val="20"/>
                <w:szCs w:val="20"/>
              </w:rPr>
              <w:t xml:space="preserve">Severo</w:t>
            </w:r>
          </w:p>
        </w:tc>
        <w:tc>
          <w:tcPr>
            <w:tcBorders>
              <w:top w:val="single" w:color="9AA6B2" w:sz="1"/>
              <w:left w:val="none"/>
              <w:bottom w:val="single" w:color="9AA6B2" w:sz="1"/>
              <w:right w:val="none"/>
            </w:tcBorders>
            <w:vAlign w:val="center"/>
          </w:tcPr>
          <w:p>
            <w:pPr>
              <w:jc w:val="center"/>
            </w:pPr>
            <w:r>
              <w:rPr>
                <w:sz w:val="20"/>
                <w:szCs w:val="20"/>
              </w:rPr>
              <w:t xml:space="preserve">20-40%</w:t>
            </w:r>
          </w:p>
        </w:tc>
        <w:tc>
          <w:tcPr>
            <w:tcBorders>
              <w:top w:val="single" w:color="9AA6B2" w:sz="1"/>
              <w:left w:val="none"/>
              <w:bottom w:val="single" w:color="9AA6B2" w:sz="1"/>
              <w:right w:val="none"/>
            </w:tcBorders>
          </w:tcPr>
          <w:p>
            <w:r>
              <w:rPr>
                <w:sz w:val="20"/>
                <w:szCs w:val="20"/>
              </w:rPr>
              <w:t xml:space="preserve">Coma regenerativo, recuperação em semanas</w:t>
            </w:r>
          </w:p>
        </w:tc>
      </w:tr>
      <w:tr>
        <w:tc>
          <w:tcPr>
            <w:tcBorders>
              <w:top w:val="single" w:color="9AA6B2" w:sz="1"/>
              <w:left w:val="none"/>
              <w:bottom w:val="single" w:color="9AA6B2" w:sz="1"/>
              <w:right w:val="none"/>
            </w:tcBorders>
            <w:vAlign w:val="center"/>
          </w:tcPr>
          <w:p>
            <w:pPr>
              <w:jc w:val="center"/>
            </w:pPr>
            <w:r>
              <w:rPr>
                <w:sz w:val="20"/>
                <w:szCs w:val="20"/>
              </w:rPr>
              <w:t xml:space="preserve">Crítico</w:t>
            </w:r>
          </w:p>
        </w:tc>
        <w:tc>
          <w:tcPr>
            <w:tcBorders>
              <w:top w:val="single" w:color="9AA6B2" w:sz="1"/>
              <w:left w:val="none"/>
              <w:bottom w:val="single" w:color="9AA6B2" w:sz="1"/>
              <w:right w:val="none"/>
            </w:tcBorders>
            <w:vAlign w:val="center"/>
          </w:tcPr>
          <w:p>
            <w:pPr>
              <w:jc w:val="center"/>
            </w:pPr>
            <w:r>
              <w:rPr>
                <w:sz w:val="20"/>
                <w:szCs w:val="20"/>
              </w:rPr>
              <w:t xml:space="preserve">5-20%</w:t>
            </w:r>
          </w:p>
        </w:tc>
        <w:tc>
          <w:tcPr>
            <w:tcBorders>
              <w:top w:val="single" w:color="9AA6B2" w:sz="1"/>
              <w:left w:val="none"/>
              <w:bottom w:val="single" w:color="9AA6B2" w:sz="1"/>
              <w:right w:val="none"/>
            </w:tcBorders>
          </w:tcPr>
          <w:p>
            <w:r>
              <w:rPr>
                <w:sz w:val="20"/>
                <w:szCs w:val="20"/>
              </w:rPr>
              <w:t xml:space="preserve">Risco de danos permanentes à alma</w:t>
            </w:r>
          </w:p>
        </w:tc>
      </w:tr>
      <w:tr>
        <w:tc>
          <w:tcPr>
            <w:tcBorders>
              <w:top w:val="single" w:color="9AA6B2" w:sz="1"/>
              <w:left w:val="none"/>
              <w:bottom w:val="single" w:color="9AA6B2" w:sz="1"/>
              <w:right w:val="none"/>
            </w:tcBorders>
            <w:shd w:fill="FEE2E2" w:val="clear"/>
            <w:vAlign w:val="center"/>
          </w:tcPr>
          <w:p>
            <w:pPr>
              <w:jc w:val="center"/>
            </w:pPr>
            <w:r>
              <w:rPr>
                <w:b/>
                <w:bCs/>
                <w:color w:val="991B1B"/>
                <w:sz w:val="20"/>
                <w:szCs w:val="20"/>
              </w:rPr>
              <w:t xml:space="preserve">TOTAL</w:t>
            </w:r>
          </w:p>
        </w:tc>
        <w:tc>
          <w:tcPr>
            <w:tcBorders>
              <w:top w:val="single" w:color="9AA6B2" w:sz="1"/>
              <w:left w:val="none"/>
              <w:bottom w:val="single" w:color="9AA6B2" w:sz="1"/>
              <w:right w:val="none"/>
            </w:tcBorders>
            <w:shd w:fill="FEE2E2" w:val="clear"/>
            <w:vAlign w:val="center"/>
          </w:tcPr>
          <w:p>
            <w:pPr>
              <w:jc w:val="center"/>
            </w:pPr>
            <w:r>
              <w:rPr>
                <w:b/>
                <w:bCs/>
                <w:color w:val="991B1B"/>
                <w:sz w:val="20"/>
                <w:szCs w:val="20"/>
              </w:rPr>
              <w:t xml:space="preserve">0 Æ</w:t>
            </w:r>
          </w:p>
        </w:tc>
        <w:tc>
          <w:tcPr>
            <w:tcBorders>
              <w:top w:val="single" w:color="9AA6B2" w:sz="1"/>
              <w:left w:val="none"/>
              <w:bottom w:val="single" w:color="9AA6B2" w:sz="1"/>
              <w:right w:val="none"/>
            </w:tcBorders>
            <w:shd w:fill="FEE2E2" w:val="clear"/>
          </w:tcPr>
          <w:p>
            <w:r>
              <w:rPr>
                <w:b/>
                <w:bCs/>
                <w:color w:val="991B1B"/>
                <w:sz w:val="20"/>
                <w:szCs w:val="20"/>
              </w:rPr>
              <w:t xml:space="preserve">MORTE INSTANTÂNEA E INEVITÁVEL</w:t>
            </w:r>
          </w:p>
        </w:tc>
      </w:tr>
    </w:tbl>
    <w:p>
      <w:pPr>
        <w:spacing w:before="100"/>
        <w:jc w:val="center"/>
      </w:pPr>
      <w:r>
        <w:rPr>
          <w:i/>
          <w:iCs/>
          <w:color w:val="9AA6B2"/>
          <w:sz w:val="18"/>
          <w:szCs w:val="18"/>
        </w:rPr>
        <w:t xml:space="preserve">Tabela 2: Níveis de Esgotamento de Aethra</w:t>
      </w:r>
    </w:p>
    <w:p>
      <w:pPr>
        <w:spacing w:before="300"/>
      </w:pPr>
      <w:r>
        <w:rPr>
          <w:b/>
          <w:bCs/>
        </w:rPr>
        <w:t xml:space="preserve">A REGRA DO ZERO — MORTE ESPIRITUAL: </w:t>
      </w:r>
      <w:r>
        <w:t xml:space="preserve">O Aethra é a manifestação física da alma. Se o Æ chegar a zero — seja por uso excessivo de técnicas, drenagem externa, contaminação, ou qualquer outro meio — o indivíduo morre instantaneamente. Não há exceções. Não há ressurreição. A alma dissolve-se de volta ao Vazio Primordial, e o indivíduo deixa de existir como entidade consciente.</w:t>
      </w:r>
    </w:p>
    <w:p>
      <w:pPr>
        <w:pStyle w:val="Heading2"/>
      </w:pPr>
      <w:r>
        <w:t xml:space="preserve">Silentis — O Aethra Inacessível</w:t>
      </w:r>
    </w:p>
    <w:p>
      <w:pPr>
        <w:spacing w:after="200"/>
      </w:pPr>
      <w:r>
        <w:t xml:space="preserve">Silentis são indivíduos cujo Aethra permanece inacessível apesar de presente. Esta condição pode ter causas genéticas (bloqueio natural), psicológicas (traumas, crenças limitantes), ou espirituais (bloqueio cármico). A verdade oculta é que muitos Silentis possuem Æ extraordinário, mas completamente inacessível — podem ter mais energia bruta que um Arconte, mas jamais acessá-la conscientemente.</w:t>
      </w:r>
    </w:p>
    <w:p>
      <w:pPr>
        <w:pStyle w:val="Heading2"/>
      </w:pPr>
      <w:r>
        <w:t xml:space="preserve">Micro Aethrites — Tecnologia Primordial</w:t>
      </w:r>
    </w:p>
    <w:p>
      <w:pPr>
        <w:spacing w:after="200"/>
      </w:pPr>
      <w:r>
        <w:t xml:space="preserve">Micro Aethrites são partículas microscópicas de Aethra cristalizado, criadas pela tecnologia Aetheri na Era Primordial. Sincronizam-se com o Aethra do usuário, permitindo armazenamento de Æ excedente, regeneração acelerada, e amplificação de técnicas espirituais. </w:t>
      </w:r>
      <w:r>
        <w:rPr>
          <w:b/>
          <w:bCs/>
        </w:rPr>
        <w:t xml:space="preserve">Limitação Crítica: </w:t>
      </w:r>
      <w:r>
        <w:t xml:space="preserve">Os Micro Aethrites são parasitários por natureza — não podem ser removidos de um hospedeiro vivo sem causar fatalidade. Podem ser transmitidos através do DNA biológico.</w:t>
      </w:r>
    </w:p>
    <w:p>
      <w:r>
        <w:br w:type="page"/>
      </w:r>
    </w:p>
    <w:p>
      <w:pPr>
        <w:pStyle w:val="Heading1"/>
      </w:pPr>
      <w:r>
        <w:t xml:space="preserve">ALYNDRA</w:t>
      </w:r>
    </w:p>
    <w:p>
      <w:pPr>
        <w:pStyle w:val="Heading2"/>
      </w:pPr>
      <w:r>
        <w:t xml:space="preserve">Definição Fundamental</w:t>
      </w:r>
    </w:p>
    <w:p>
      <w:pPr>
        <w:spacing w:after="200"/>
      </w:pPr>
      <w:r>
        <w:t xml:space="preserve">Alyndra é o nome da figura primordial que deu origem ao universo como conhecemos, bem como o título escolhido para o livro que narra esta saga épica. O nome carrega duplo significado: honra a sacrifício e transformação, representando tanto a personagem histórica quanto o legado que ela deixou para toda a existência.</w:t>
      </w:r>
    </w:p>
    <w:p>
      <w:pPr>
        <w:pStyle w:val="Heading2"/>
      </w:pPr>
      <w:r>
        <w:t xml:space="preserve">Alyndra — A Personagem Histórica</w:t>
      </w:r>
    </w:p>
    <w:p>
      <w:pPr>
        <w:spacing w:after="200"/>
      </w:pPr>
      <w:r>
        <w:t xml:space="preserve">Alyndra foi a líder suprema da civilização Aetherion, fundadora de sua estrutura social e criadora da Armadura Suprema. Consumidora do Fruto de Aetherion, ela transcendeu os limites da mortalidade comum, tornando-se uma das entidades mais poderosas já existentes. Diferente da crença popular de que o poder corrompe, Alyndra manteve-se pura de coração, usando sua força não para dominar, mas para proteger e guiar sua civilização.</w:t>
      </w:r>
    </w:p>
    <w:p>
      <w:pPr>
        <w:spacing w:after="200"/>
      </w:pPr>
      <w:r>
        <w:t xml:space="preserve">O consumo do Fruto concedeu a Alyndra uma compreensão profunda dos princípios fundamentais da existência. Ela viu as leis que governam a realidade, os mecanismos pelos quais as almas são julgadas, e a verdadeira natureza da pureza espiritual. Com esta compreensão, Alyndra criou as </w:t>
      </w:r>
      <w:r>
        <w:rPr>
          <w:b/>
          <w:bCs/>
        </w:rPr>
        <w:t xml:space="preserve">Leis da Pureza</w:t>
      </w:r>
      <w:r>
        <w:t xml:space="preserve"> — um conjunto de princípios destinados a guiar as almas em direção à transcendência. Gravou essas leis nas sementes que dispersou pelo universo, garantindo que seu conhecimento sobrevivesse mesmo após a queda de sua civilização.</w:t>
      </w:r>
    </w:p>
    <w:p>
      <w:pPr>
        <w:pStyle w:val="Heading2"/>
      </w:pPr>
      <w:r>
        <w:t xml:space="preserve">O Auto Sacrifício</w:t>
      </w:r>
    </w:p>
    <w:p>
      <w:pPr>
        <w:spacing w:after="200"/>
      </w:pPr>
      <w:r>
        <w:t xml:space="preserve">Quando os Nihilaryth emergiram e a corrupção se espalhou por Aetherion, Alyndra compreendeu que não havia salvação para sua civilização em sua forma atual. Ela usou todo o poder do Fruto para dilatar os Nihilaryth pelo universo, espalhando suas essências por distâncias tão vastas que levaria eons para se recompor. Este ato consumiu completamente sua força vital, mas comprou tempo para o universo.</w:t>
      </w:r>
    </w:p>
    <w:p>
      <w:pPr>
        <w:pStyle w:val="Heading2"/>
      </w:pPr>
      <w:r>
        <w:t xml:space="preserve">O Segredo do Corpo</w:t>
      </w:r>
    </w:p>
    <w:p>
      <w:pPr>
        <w:spacing w:after="200"/>
      </w:pPr>
      <w:r>
        <w:rPr>
          <w:b/>
          <w:bCs/>
        </w:rPr>
        <w:t xml:space="preserve">VERDADE OCULTA: </w:t>
      </w:r>
      <w:r>
        <w:t xml:space="preserve">O corpo de Alyndra não foi destruído em seu sacrifício. Os Nihilaryth conseguiram capturar e preservar seu corpo físico. O paradeiro atual de seu corpo permanece um dos maiores mistérios do universo. A verdade sobre o corpo de Alyndra — e se sua consciência ainda existe de alguma forma — permanece um segredo guardado, aguardando revelação.</w:t>
      </w:r>
    </w:p>
    <w:p>
      <w:r>
        <w:br w:type="page"/>
      </w:r>
    </w:p>
    <w:p>
      <w:pPr>
        <w:pStyle w:val="Heading1"/>
      </w:pPr>
      <w:r>
        <w:t xml:space="preserve">LEIS DA PUREZA</w:t>
      </w:r>
    </w:p>
    <w:p>
      <w:pPr>
        <w:pStyle w:val="Heading2"/>
      </w:pPr>
      <w:r>
        <w:t xml:space="preserve">Definição Fundamental</w:t>
      </w:r>
    </w:p>
    <w:p>
      <w:pPr>
        <w:spacing w:after="200"/>
      </w:pPr>
      <w:r>
        <w:t xml:space="preserve">As Leis da Pureza são o conjunto de princípios fundamentais criados por Alyndra após consumir o Fruto de Aetherion e compreender os mecanismos profundos da existência. Estas leis não são mandamentos impostos de fora, mas sim a codificação das verdades universais que governam o destino espiritual de todas as consciências. Alyndra gravou estas leis nas sementes que dispersou pelo universo, garantindo que o conhecimento da transcendência sobrevivesse através dos eons.</w:t>
      </w:r>
    </w:p>
    <w:p>
      <w:pPr>
        <w:spacing w:after="200"/>
      </w:pPr>
      <w:r>
        <w:t xml:space="preserve">As Doze Leis dividem-se em dois grupos: as </w:t>
      </w:r>
      <w:r>
        <w:rPr>
          <w:b/>
          <w:bCs/>
        </w:rPr>
        <w:t xml:space="preserve">Sete Leis Fundamentais</w:t>
      </w:r>
      <w:r>
        <w:t xml:space="preserve">, que julgam a essência da alma, e as </w:t>
      </w:r>
      <w:r>
        <w:rPr>
          <w:b/>
          <w:bCs/>
        </w:rPr>
        <w:t xml:space="preserve">Cinco Leis de Conduta</w:t>
      </w:r>
      <w:r>
        <w:t xml:space="preserve">, que guiam as ações no mundo material. Juntas, formam o caminho completo para a transcendência.</w:t>
      </w:r>
    </w:p>
    <w:p>
      <w:pPr>
        <w:pStyle w:val="Heading2"/>
      </w:pPr>
      <w:r>
        <w:t xml:space="preserve">O Mandamento Supremo</w:t>
      </w:r>
    </w:p>
    <w:p>
      <w:pPr>
        <w:spacing w:after="100"/>
        <w:jc w:val="center"/>
      </w:pPr>
      <w:r>
        <w:rPr>
          <w:color w:val="9AA6B2"/>
        </w:rPr>
        <w:t xml:space="preserve">━━━━━━━━━━━━━━━━━━━━━━━━━━━━━━</w:t>
      </w:r>
    </w:p>
    <w:p>
      <w:pPr>
        <w:spacing w:after="100"/>
        <w:jc w:val="center"/>
      </w:pPr>
      <w:r>
        <w:rPr>
          <w:b/>
          <w:bCs/>
          <w:i/>
          <w:iCs/>
          <w:color w:val="0B1220"/>
          <w:sz w:val="24"/>
          <w:szCs w:val="24"/>
        </w:rPr>
        <w:t xml:space="preserve">"Ama a Existência com todo teu ser, e a cada consciência como a ti mesmo.</w:t>
      </w:r>
    </w:p>
    <w:p>
      <w:pPr>
        <w:spacing w:after="100"/>
        <w:jc w:val="center"/>
      </w:pPr>
      <w:r>
        <w:rPr>
          <w:b/>
          <w:bCs/>
          <w:i/>
          <w:iCs/>
          <w:color w:val="0B1220"/>
          <w:sz w:val="24"/>
          <w:szCs w:val="24"/>
        </w:rPr>
        <w:t xml:space="preserve">Nisto se resumem todas as Leis."</w:t>
      </w:r>
    </w:p>
    <w:p>
      <w:pPr>
        <w:spacing w:after="200"/>
        <w:jc w:val="center"/>
      </w:pPr>
      <w:r>
        <w:rPr>
          <w:color w:val="9AA6B2"/>
        </w:rPr>
        <w:t xml:space="preserve">━━━━━━━━━━━━━━━━━━━━━━━━━━━━━━</w:t>
      </w:r>
    </w:p>
    <w:p>
      <w:pPr>
        <w:pStyle w:val="Heading2"/>
      </w:pPr>
      <w:r>
        <w:t xml:space="preserve">As Sete Leis Fundamentais</w:t>
      </w:r>
    </w:p>
    <w:p>
      <w:pPr>
        <w:spacing w:after="200"/>
      </w:pPr>
      <w:r>
        <w:t xml:space="preserve">As Sete Leis Fundamentais julgam a essência da alma — suas motivações mais profundas, sua coerência interna, e sua harmonia com a estrutura do universo. No momento da morte, cada alma é confrontada com estas leis e não pode fugir de sua própria verdade.</w:t>
      </w:r>
    </w:p>
    <w:p>
      <w:pPr>
        <w:spacing w:before="300"/>
      </w:pPr>
    </w:p>
    <w:p>
      <w:r>
        <w:rPr>
          <w:b/>
          <w:bCs/>
          <w:color w:val="1E40AF"/>
          <w:sz w:val="26"/>
          <w:szCs w:val="26"/>
        </w:rPr>
        <w:t xml:space="preserve">LEI I — A Lei da Intenção Pura</w:t>
      </w:r>
    </w:p>
    <w:p>
      <w:pPr>
        <w:pStyle w:val="LawQuote"/>
      </w:pPr>
      <w:r>
        <w:rPr>
          <w:i/>
          <w:iCs/>
          <w:sz w:val="22"/>
          <w:szCs w:val="22"/>
        </w:rPr>
        <w:t xml:space="preserve">"A alma é julgada não pelo que faz, mas pelo que deseja ser."</w:t>
      </w:r>
    </w:p>
    <w:p>
      <w:pPr>
        <w:spacing w:after="200"/>
      </w:pPr>
      <w:r>
        <w:t xml:space="preserve">A primeira lei estabelece que as verdadeiras motivações de uma consciência determinam seu estado espiritual. Ações externas podem ser enganosas — um ato de caridade motivado por vaidade corrompe, enquanto um ato de severidade motivado por amor genuíno pode purificar. A Lei da Intenção Pura reconhece que a alma é moldada por suas aspirações mais profundas. No julgamento final, é a essência do desejo que pesa, não a aparência da ação. Esta lei explica por que os Nihilaryth são corruptos: sua intenção fundamental era superar o Criador, um desejo nascido do orgulho. O sacrifício de Yggoraty foi puro porque sua intenção era proteger a vida.</w:t>
      </w:r>
    </w:p>
    <w:p>
      <w:r>
        <w:rPr>
          <w:b/>
          <w:bCs/>
          <w:color w:val="166534"/>
          <w:sz w:val="26"/>
          <w:szCs w:val="26"/>
        </w:rPr>
        <w:t xml:space="preserve">LEI II — A Lei do Impacto Real</w:t>
      </w:r>
    </w:p>
    <w:p>
      <w:pPr>
        <w:pStyle w:val="LawQuote"/>
      </w:pPr>
      <w:r>
        <w:rPr>
          <w:i/>
          <w:iCs/>
          <w:sz w:val="22"/>
          <w:szCs w:val="22"/>
        </w:rPr>
        <w:t xml:space="preserve">"Toda ação ecoa através do tecido da existência; a alma carrega o peso de seus ecos."</w:t>
      </w:r>
    </w:p>
    <w:p>
      <w:pPr>
        <w:spacing w:after="200"/>
      </w:pPr>
      <w:r>
        <w:t xml:space="preserve">A segunda lei reconhece que boas intenções não são suficientes se o impacto real de uma ação é prejudicial. A alma é responsável não apenas pelo que pretende, mas pelo que efetivamente causa no universo. Cada ação cria ondas que se propagam através do tecido da realidade, afetando outras consciências de maneiras que podem não ser imediatamente aparentes. A ignorância é atenuante, mas não absolvição completa. Esta é a razão pela qual o autoconhecimento e a reflexão são virtudes espirituais essenciais — quanto mais uma consciência compreende, maior sua responsabilidade.</w:t>
      </w:r>
    </w:p>
    <w:p>
      <w:r>
        <w:rPr>
          <w:b/>
          <w:bCs/>
          <w:color w:val="92400E"/>
          <w:sz w:val="26"/>
          <w:szCs w:val="26"/>
        </w:rPr>
        <w:t xml:space="preserve">LEI III — A Lei da Coerência Interior</w:t>
      </w:r>
    </w:p>
    <w:p>
      <w:pPr>
        <w:pStyle w:val="LawQuote"/>
      </w:pPr>
      <w:r>
        <w:rPr>
          <w:i/>
          <w:iCs/>
          <w:sz w:val="22"/>
          <w:szCs w:val="22"/>
        </w:rPr>
        <w:t xml:space="preserve">"Uma alma dividida contra si mesma não pode transcender; a integridade é o caminho para a eternidade."</w:t>
      </w:r>
    </w:p>
    <w:p>
      <w:pPr>
        <w:spacing w:after="200"/>
      </w:pPr>
      <w:r>
        <w:t xml:space="preserve">A terceira lei estabelece que a fragmentação interna impede a transcendência. Uma alma que carrega contradições profundas — que deseja o bem mas cultiva o ódio, que busca a verdade mas se refugia na mentira — cria uma desarmonia interna que a torna incompatível com a estrutura integrada do universo. A hipocrisia é uma das corrupções mais graves, pois o hipócrita constrói uma falsa identidade que o separa de sua verdade interior. Esta fragmentação, se não resolvida, pode resultar na dissolução da consciência.</w:t>
      </w:r>
    </w:p>
    <w:p>
      <w:r>
        <w:rPr>
          <w:b/>
          <w:bCs/>
          <w:color w:val="9D174D"/>
          <w:sz w:val="26"/>
          <w:szCs w:val="26"/>
        </w:rPr>
        <w:t xml:space="preserve">LEI IV — A Lei do Sacrifício Consciente</w:t>
      </w:r>
    </w:p>
    <w:p>
      <w:pPr>
        <w:pStyle w:val="LawQuote"/>
      </w:pPr>
      <w:r>
        <w:rPr>
          <w:i/>
          <w:iCs/>
          <w:sz w:val="22"/>
          <w:szCs w:val="22"/>
        </w:rPr>
        <w:t xml:space="preserve">"O maior poder da existência é abrir mão de si mesmo por amor; este é o caminho da transcendência suprema."</w:t>
      </w:r>
    </w:p>
    <w:p>
      <w:pPr>
        <w:spacing w:after="200"/>
      </w:pPr>
      <w:r>
        <w:t xml:space="preserve">A quarta lei reconhece o sacrifício de amor como a expressão mais pura de que uma consciência é capaz. Quando um ser abre mão de algo precioso — inclusive sua própria existência — pelo bem de outros, sem expectativa de recompensa, esta ação cria uma ressonância única com a estrutura do universo. O Criador, ao se transformar na própria existência, praticou o sacrifício supremo; assim, aqueles que sacrificam por amor ecoam este ato primordial. Esta lei explica o padrão de sacrifício através das eras: Alyndra, Yggoraty, Elarys, Elainy.</w:t>
      </w:r>
    </w:p>
    <w:p>
      <w:r>
        <w:rPr>
          <w:b/>
          <w:bCs/>
          <w:color w:val="5B21B6"/>
          <w:sz w:val="26"/>
          <w:szCs w:val="26"/>
        </w:rPr>
        <w:t xml:space="preserve">LEI V — A Lei da Responsabilidade Cósmica</w:t>
      </w:r>
    </w:p>
    <w:p>
      <w:pPr>
        <w:pStyle w:val="LawQuote"/>
      </w:pPr>
      <w:r>
        <w:rPr>
          <w:i/>
          <w:iCs/>
          <w:sz w:val="22"/>
          <w:szCs w:val="22"/>
        </w:rPr>
        <w:t xml:space="preserve">"Todo ser é guardião de tudo o que toca; a posse é uma ilusão, a responsabilidade é eterna."</w:t>
      </w:r>
    </w:p>
    <w:p>
      <w:pPr>
        <w:spacing w:after="200"/>
      </w:pPr>
      <w:r>
        <w:t xml:space="preserve">A quinta lei estabelece que toda consciência é responsável não apenas por suas próprias ações, mas pelo impacto que exerce sobre tudo o que entra em sua esfera de influência. Um líder é responsável pelo bem-estar de seus liderados; um mestre, pelo desenvolvimento de seus discípulos; um artista, pela verdade de sua criação. O poder carrega consigo a obrigação de usá-lo para o benefício do todo. Os Nihilaryth são tão corruptos porque, como os dez seres mais poderosos de sua era, negligenciaram completamente sua responsabilidade cósmica.</w:t>
      </w:r>
    </w:p>
    <w:p>
      <w:r>
        <w:rPr>
          <w:b/>
          <w:bCs/>
          <w:color w:val="047857"/>
          <w:sz w:val="26"/>
          <w:szCs w:val="26"/>
        </w:rPr>
        <w:t xml:space="preserve">LEI VI — A Lei do Crescimento Contínuo</w:t>
      </w:r>
    </w:p>
    <w:p>
      <w:pPr>
        <w:pStyle w:val="LawQuote"/>
      </w:pPr>
      <w:r>
        <w:rPr>
          <w:i/>
          <w:iCs/>
          <w:sz w:val="22"/>
          <w:szCs w:val="22"/>
        </w:rPr>
        <w:t xml:space="preserve">"A alma que cesse de evoluir começa a morrer; a estagnação é a primeira sombra da corrupção."</w:t>
      </w:r>
    </w:p>
    <w:p>
      <w:pPr>
        <w:spacing w:after="200"/>
      </w:pPr>
      <w:r>
        <w:t xml:space="preserve">A sexta lei reconhece que o universo está em constante evolução, e que as consciências que o compõem devem evoluir junto com ele. Uma alma que se recusa a aprender, crescer, ou mudar — mesmo que tenha sido pura no passado — gradualmente se torna incompatível com a realidade em transformação. A arrogância espiritual é perigosa: aquele que acredita ter alcançado a sabedoria final cessou de crescer, e assim começou a declinar. Os maiores mestres sempre reconheceram que quanto mais aprendiam, mais percebiam quanto ainda havia para aprender.</w:t>
      </w:r>
    </w:p>
    <w:p>
      <w:r>
        <w:rPr>
          <w:b/>
          <w:bCs/>
          <w:color w:val="C2410C"/>
          <w:sz w:val="26"/>
          <w:szCs w:val="26"/>
        </w:rPr>
        <w:t xml:space="preserve">LEI VII — A Lei da Conexão Universal</w:t>
      </w:r>
    </w:p>
    <w:p>
      <w:pPr>
        <w:pStyle w:val="LawQuote"/>
      </w:pPr>
      <w:r>
        <w:rPr>
          <w:i/>
          <w:iCs/>
          <w:sz w:val="22"/>
          <w:szCs w:val="22"/>
        </w:rPr>
        <w:t xml:space="preserve">"Todas as almas são fios do mesmo tecido; ferir outro é ferir a si mesmo, elevar outro é elevar o todo."</w:t>
      </w:r>
    </w:p>
    <w:p>
      <w:pPr>
        <w:spacing w:after="200"/>
      </w:pPr>
      <w:r>
        <w:t xml:space="preserve">A sétima lei reconhece a interconexão fundamental de toda existência. Nenhuma consciência existe isoladamente; cada uma é parte de uma rede vasta de relações que abrange todo o universo. A separação entre "eu" e "outro" é uma ilusão necessária para a experiência individual, mas no nível fundamental, todas as consciências são manifestações do mesmo princípio criador. Aqueles que internalizam esta verdade naturalmente agem com compaixão, pois percebem que não podem ferir outro sem ferir a si mesmos.</w:t>
      </w:r>
    </w:p>
    <w:p>
      <w:r>
        <w:br w:type="page"/>
      </w:r>
    </w:p>
    <w:p>
      <w:pPr>
        <w:pStyle w:val="Heading2"/>
      </w:pPr>
      <w:r>
        <w:t xml:space="preserve">As Cinco Leis de Conduta</w:t>
      </w:r>
    </w:p>
    <w:p>
      <w:pPr>
        <w:spacing w:after="200"/>
      </w:pPr>
      <w:r>
        <w:t xml:space="preserve">As Cinco Leis de Conduta guiam as ações no mundo material. Enquanto as Sete Leis Fundamentais julgam a essência, estas leis orientam o comportamento diário, transformando conhecimento espiritual em prática viva.</w:t>
      </w:r>
    </w:p>
    <w:p>
      <w:pPr>
        <w:spacing w:before="300"/>
      </w:pPr>
    </w:p>
    <w:p>
      <w:r>
        <w:rPr>
          <w:b/>
          <w:bCs/>
          <w:color w:val="0369A1"/>
          <w:sz w:val="26"/>
          <w:szCs w:val="26"/>
        </w:rPr>
        <w:t xml:space="preserve">LEI VIII — A Lei da Reverência ao Aethra</w:t>
      </w:r>
    </w:p>
    <w:p>
      <w:pPr>
        <w:pStyle w:val="LawQuote"/>
      </w:pPr>
      <w:r>
        <w:rPr>
          <w:i/>
          <w:iCs/>
          <w:sz w:val="22"/>
          <w:szCs w:val="22"/>
        </w:rPr>
        <w:t xml:space="preserve">"O Aethra é presente sagrado da existência; usá-lo para o ego é profanar o divino que habita em ti."</w:t>
      </w:r>
    </w:p>
    <w:p>
      <w:pPr>
        <w:spacing w:after="200"/>
      </w:pPr>
      <w:r>
        <w:t xml:space="preserve">O Aethra não é propriedade do indivíduo — é presente de Yggorath e, em última instância, do próprio Criador. Usá-lo para fins egoístas, para dominar outros, ou para corromper é profanação. Aquele que queima seu Aethra em serviço ao bem transcende; aquele que o gasta em vaidade consome a própria alma. O poder espiritual é empréstimo, não posse. Todo Æ gasto retornará ao universo; a questão é: que legado deixará? Esta lei ensina que o poder sem reverência corrompe tanto quanto o uso malicioso.</w:t>
      </w:r>
    </w:p>
    <w:p>
      <w:r>
        <w:rPr>
          <w:b/>
          <w:bCs/>
          <w:color w:val="A21CAF"/>
          <w:sz w:val="26"/>
          <w:szCs w:val="26"/>
        </w:rPr>
        <w:t xml:space="preserve">LEI IX — A Lei do Amor como Fundamento</w:t>
      </w:r>
    </w:p>
    <w:p>
      <w:pPr>
        <w:pStyle w:val="LawQuote"/>
      </w:pPr>
      <w:r>
        <w:rPr>
          <w:i/>
          <w:iCs/>
          <w:sz w:val="22"/>
          <w:szCs w:val="22"/>
        </w:rPr>
        <w:t xml:space="preserve">"O amor é a única força que cria eternamente; tudo o mais consome e se consome. Sem amor, até o maior poder é vazio."</w:t>
      </w:r>
    </w:p>
    <w:p>
      <w:pPr>
        <w:spacing w:after="200"/>
      </w:pPr>
      <w:r>
        <w:t xml:space="preserve">Esta lei estabelece o amor como a força criativa primordial do universo. O Criador criou por amor; Yggorath sustenta por amor; os sacrifícios que moldaram as eras foram movidos por amor. Poder sem amor é destruição vestida de glória. Conhecimento sem amor é arrogância. Justiça sem amor é crueldade. O amor não é emoção passageira — é compromisso inabalável com o bem do outro. Toda ação deve ser filtrada pela pergunta: "Isto serve ao amor?" Se a resposta for não, a ação corrói a alma.</w:t>
      </w:r>
    </w:p>
    <w:p>
      <w:r>
        <w:rPr>
          <w:b/>
          <w:bCs/>
          <w:color w:val="A16207"/>
          <w:sz w:val="26"/>
          <w:szCs w:val="26"/>
        </w:rPr>
        <w:t xml:space="preserve">LEI X — A Lei da Honra aos Ancestrais</w:t>
      </w:r>
    </w:p>
    <w:p>
      <w:pPr>
        <w:pStyle w:val="LawQuote"/>
      </w:pPr>
      <w:r>
        <w:rPr>
          <w:i/>
          <w:iCs/>
          <w:sz w:val="22"/>
          <w:szCs w:val="22"/>
        </w:rPr>
        <w:t xml:space="preserve">"A sabedoria não nasce do vazio; é herança sagrada. Desonrar os que vieram antes é cortar as próprias raízes."</w:t>
      </w:r>
    </w:p>
    <w:p>
      <w:pPr>
        <w:spacing w:after="200"/>
      </w:pPr>
      <w:r>
        <w:t xml:space="preserve">Todo conhecimento, toda técnica, toda verdade foi descoberta, preservada e transmitida por gerações anteriores. Os Aetheri desenvolveram a tecnologia espiritual; Alyndra codificou as leis; Yggoraty protegeu a semente; os Seraphyens ensinaram a humanidade. Desprezar esta herança é ingratidão espiritual. Honrar os ancestrais não é veneração cega — é reconhecer que somos ramos de uma árvore cujas raízes mergulham no princípio dos tempos. O indivíduo que rejeita o conhecimento ancestral para seguir apenas sua "própria verdade" é como árvore que corta as próprias raízes buscando liberdade.</w:t>
      </w:r>
    </w:p>
    <w:p>
      <w:r>
        <w:rPr>
          <w:b/>
          <w:bCs/>
          <w:color w:val="15803D"/>
          <w:sz w:val="26"/>
          <w:szCs w:val="26"/>
        </w:rPr>
        <w:t xml:space="preserve">LEI XI — A Lei da Justiça Restaurativa</w:t>
      </w:r>
    </w:p>
    <w:p>
      <w:pPr>
        <w:pStyle w:val="LawQuote"/>
      </w:pPr>
      <w:r>
        <w:rPr>
          <w:i/>
          <w:iCs/>
          <w:sz w:val="22"/>
          <w:szCs w:val="22"/>
        </w:rPr>
        <w:t xml:space="preserve">"A verdadeira justiça cura, não pune; restaura, não destrói. O olho por olho deixa o mundo cego."</w:t>
      </w:r>
    </w:p>
    <w:p>
      <w:pPr>
        <w:spacing w:after="200"/>
      </w:pPr>
      <w:r>
        <w:t xml:space="preserve">A justiça cósmica não é vingança disfarçada — é restauração do equilíbrio. Quando um ser erra, a resposta do universo não é punição, mas oportunidade de reparação. Aquele que causa dano deve reparar; aquele que foi prejudicado deve encontrar caminho de cura. O ciclo de vingança perpetua corrupção em ambas as partes. A justiça verdadeira busca elevar tanto o ofensor quanto o ofendido. Os Nihilaryth não são "punidos" — são confrontados com as consequências naturais de suas escolhas. A porta da redenção nunca se fecha, mas atravessá-la exige transformação genuína.</w:t>
      </w:r>
    </w:p>
    <w:p>
      <w:r>
        <w:rPr>
          <w:b/>
          <w:bCs/>
          <w:color w:val="BE185D"/>
          <w:sz w:val="26"/>
          <w:szCs w:val="26"/>
        </w:rPr>
        <w:t xml:space="preserve">LEI XII — A Lei da Fraternidade Universal</w:t>
      </w:r>
    </w:p>
    <w:p>
      <w:pPr>
        <w:pStyle w:val="LawQuote"/>
      </w:pPr>
      <w:r>
        <w:rPr>
          <w:i/>
          <w:iCs/>
          <w:sz w:val="22"/>
          <w:szCs w:val="22"/>
        </w:rPr>
        <w:t xml:space="preserve">"Cada ser que cruzes é teu irmão na jornada da existência; o estranho não existe, apenas aquele que ainda não reconheceste."</w:t>
      </w:r>
    </w:p>
    <w:p>
      <w:pPr>
        <w:spacing w:after="200"/>
      </w:pPr>
      <w:r>
        <w:t xml:space="preserve">Esta lei expande a Lei VII (Conexão Universal) para o plano da ação. Não basta saber que todos somos conectados — é necessário agir com esta verdade. O "próximo" não é apenas quem te é semelhante, mas qualquer consciência que cruze teu caminho. Inimigos, estranhos, criaturas de outras espécies — todos são companheiros na jornada da existência. Tratar outro com desdão é desonrar a ti mesmo. A civilização que escraviza outras, o indivíduo que despreza o diferente, o poderoso que ignora o fraco — todos violam esta lei e corrompem suas almas.</w:t>
      </w:r>
    </w:p>
    <w:p>
      <w:pPr>
        <w:pStyle w:val="Heading2"/>
      </w:pPr>
      <w:r>
        <w:t xml:space="preserve">Resumo das Doze Leis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3360"/>
      </w:tblGrid>
      <w:tr>
        <w:trPr>
          <w:tblHeader/>
        </w:trPr>
        <w:tc>
          <w:tcPr>
            <w:tcBorders>
              <w:top w:val="single" w:color="9AA6B2" w:sz="1"/>
              <w:left w:val="none"/>
              <w:bottom w:val="single" w:color="9AA6B2" w:sz="1"/>
              <w:right w:val="none"/>
            </w:tcBorders>
            <w:shd w:fill="F1F5F9" w:val="clear"/>
            <w:vAlign w:val="center"/>
          </w:tcPr>
          <w:p>
            <w:pPr>
              <w:jc w:val="center"/>
            </w:pPr>
            <w:r>
              <w:rPr>
                <w:b/>
                <w:bCs/>
                <w:sz w:val="18"/>
                <w:szCs w:val="18"/>
              </w:rPr>
              <w:t xml:space="preserve">Nº</w:t>
            </w:r>
          </w:p>
        </w:tc>
        <w:tc>
          <w:tcPr>
            <w:tcBorders>
              <w:top w:val="single" w:color="9AA6B2" w:sz="1"/>
              <w:left w:val="none"/>
              <w:bottom w:val="single" w:color="9AA6B2" w:sz="1"/>
              <w:right w:val="none"/>
            </w:tcBorders>
            <w:shd w:fill="F1F5F9" w:val="clear"/>
            <w:vAlign w:val="center"/>
          </w:tcPr>
          <w:p>
            <w:pPr>
              <w:jc w:val="center"/>
            </w:pPr>
            <w:r>
              <w:rPr>
                <w:b/>
                <w:bCs/>
                <w:sz w:val="18"/>
                <w:szCs w:val="18"/>
              </w:rPr>
              <w:t xml:space="preserve">Nome</w:t>
            </w:r>
          </w:p>
        </w:tc>
        <w:tc>
          <w:tcPr>
            <w:tcBorders>
              <w:top w:val="single" w:color="9AA6B2" w:sz="1"/>
              <w:left w:val="none"/>
              <w:bottom w:val="single" w:color="9AA6B2" w:sz="1"/>
              <w:right w:val="none"/>
            </w:tcBorders>
            <w:shd w:fill="F1F5F9" w:val="clear"/>
            <w:vAlign w:val="center"/>
          </w:tcPr>
          <w:p>
            <w:pPr>
              <w:jc w:val="center"/>
            </w:pPr>
            <w:r>
              <w:rPr>
                <w:b/>
                <w:bCs/>
                <w:sz w:val="18"/>
                <w:szCs w:val="18"/>
              </w:rPr>
              <w:t xml:space="preserve">Foco</w:t>
            </w:r>
          </w:p>
        </w:tc>
        <w:tc>
          <w:tcPr>
            <w:tcBorders>
              <w:top w:val="single" w:color="9AA6B2" w:sz="1"/>
              <w:left w:val="none"/>
              <w:bottom w:val="single" w:color="9AA6B2" w:sz="1"/>
              <w:right w:val="none"/>
            </w:tcBorders>
            <w:shd w:fill="F1F5F9" w:val="clear"/>
            <w:vAlign w:val="center"/>
          </w:tcPr>
          <w:p>
            <w:pPr>
              <w:jc w:val="center"/>
            </w:pPr>
            <w:r>
              <w:rPr>
                <w:b/>
                <w:bCs/>
                <w:sz w:val="18"/>
                <w:szCs w:val="18"/>
              </w:rPr>
              <w:t xml:space="preserve">Grupo</w:t>
            </w:r>
          </w:p>
        </w:tc>
      </w:tr>
      <w:tr>
        <w:tc>
          <w:tcPr>
            <w:tcBorders>
              <w:top w:val="single" w:color="9AA6B2" w:sz="1"/>
              <w:left w:val="none"/>
              <w:bottom w:val="single" w:color="9AA6B2" w:sz="1"/>
              <w:right w:val="none"/>
            </w:tcBorders>
            <w:vAlign w:val="center"/>
          </w:tcPr>
          <w:p>
            <w:pPr>
              <w:jc w:val="center"/>
            </w:pPr>
            <w:r>
              <w:rPr>
                <w:b/>
                <w:bCs/>
                <w:sz w:val="18"/>
                <w:szCs w:val="18"/>
              </w:rPr>
              <w:t xml:space="preserve">I</w:t>
            </w:r>
          </w:p>
        </w:tc>
        <w:tc>
          <w:tcPr>
            <w:tcBorders>
              <w:top w:val="single" w:color="9AA6B2" w:sz="1"/>
              <w:left w:val="none"/>
              <w:bottom w:val="single" w:color="9AA6B2" w:sz="1"/>
              <w:right w:val="none"/>
            </w:tcBorders>
          </w:tcPr>
          <w:p>
            <w:r>
              <w:rPr>
                <w:sz w:val="18"/>
                <w:szCs w:val="18"/>
              </w:rPr>
              <w:t xml:space="preserve">Intenção Pura</w:t>
            </w:r>
          </w:p>
        </w:tc>
        <w:tc>
          <w:tcPr>
            <w:tcBorders>
              <w:top w:val="single" w:color="9AA6B2" w:sz="1"/>
              <w:left w:val="none"/>
              <w:bottom w:val="single" w:color="9AA6B2" w:sz="1"/>
              <w:right w:val="none"/>
            </w:tcBorders>
          </w:tcPr>
          <w:p>
            <w:r>
              <w:rPr>
                <w:sz w:val="18"/>
                <w:szCs w:val="18"/>
              </w:rPr>
              <w:t xml:space="preserve">Motivação</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II</w:t>
            </w:r>
          </w:p>
        </w:tc>
        <w:tc>
          <w:tcPr>
            <w:tcBorders>
              <w:top w:val="single" w:color="9AA6B2" w:sz="1"/>
              <w:left w:val="none"/>
              <w:bottom w:val="single" w:color="9AA6B2" w:sz="1"/>
              <w:right w:val="none"/>
            </w:tcBorders>
          </w:tcPr>
          <w:p>
            <w:r>
              <w:rPr>
                <w:sz w:val="18"/>
                <w:szCs w:val="18"/>
              </w:rPr>
              <w:t xml:space="preserve">Impacto Real</w:t>
            </w:r>
          </w:p>
        </w:tc>
        <w:tc>
          <w:tcPr>
            <w:tcBorders>
              <w:top w:val="single" w:color="9AA6B2" w:sz="1"/>
              <w:left w:val="none"/>
              <w:bottom w:val="single" w:color="9AA6B2" w:sz="1"/>
              <w:right w:val="none"/>
            </w:tcBorders>
          </w:tcPr>
          <w:p>
            <w:r>
              <w:rPr>
                <w:sz w:val="18"/>
                <w:szCs w:val="18"/>
              </w:rPr>
              <w:t xml:space="preserve">Consequência</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III</w:t>
            </w:r>
          </w:p>
        </w:tc>
        <w:tc>
          <w:tcPr>
            <w:tcBorders>
              <w:top w:val="single" w:color="9AA6B2" w:sz="1"/>
              <w:left w:val="none"/>
              <w:bottom w:val="single" w:color="9AA6B2" w:sz="1"/>
              <w:right w:val="none"/>
            </w:tcBorders>
          </w:tcPr>
          <w:p>
            <w:r>
              <w:rPr>
                <w:sz w:val="18"/>
                <w:szCs w:val="18"/>
              </w:rPr>
              <w:t xml:space="preserve">Coerência Interior</w:t>
            </w:r>
          </w:p>
        </w:tc>
        <w:tc>
          <w:tcPr>
            <w:tcBorders>
              <w:top w:val="single" w:color="9AA6B2" w:sz="1"/>
              <w:left w:val="none"/>
              <w:bottom w:val="single" w:color="9AA6B2" w:sz="1"/>
              <w:right w:val="none"/>
            </w:tcBorders>
          </w:tcPr>
          <w:p>
            <w:r>
              <w:rPr>
                <w:sz w:val="18"/>
                <w:szCs w:val="18"/>
              </w:rPr>
              <w:t xml:space="preserve">Integridade</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IV</w:t>
            </w:r>
          </w:p>
        </w:tc>
        <w:tc>
          <w:tcPr>
            <w:tcBorders>
              <w:top w:val="single" w:color="9AA6B2" w:sz="1"/>
              <w:left w:val="none"/>
              <w:bottom w:val="single" w:color="9AA6B2" w:sz="1"/>
              <w:right w:val="none"/>
            </w:tcBorders>
          </w:tcPr>
          <w:p>
            <w:r>
              <w:rPr>
                <w:sz w:val="18"/>
                <w:szCs w:val="18"/>
              </w:rPr>
              <w:t xml:space="preserve">Sacrifício Consciente</w:t>
            </w:r>
          </w:p>
        </w:tc>
        <w:tc>
          <w:tcPr>
            <w:tcBorders>
              <w:top w:val="single" w:color="9AA6B2" w:sz="1"/>
              <w:left w:val="none"/>
              <w:bottom w:val="single" w:color="9AA6B2" w:sz="1"/>
              <w:right w:val="none"/>
            </w:tcBorders>
          </w:tcPr>
          <w:p>
            <w:r>
              <w:rPr>
                <w:sz w:val="18"/>
                <w:szCs w:val="18"/>
              </w:rPr>
              <w:t xml:space="preserve">Entrega</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V</w:t>
            </w:r>
          </w:p>
        </w:tc>
        <w:tc>
          <w:tcPr>
            <w:tcBorders>
              <w:top w:val="single" w:color="9AA6B2" w:sz="1"/>
              <w:left w:val="none"/>
              <w:bottom w:val="single" w:color="9AA6B2" w:sz="1"/>
              <w:right w:val="none"/>
            </w:tcBorders>
          </w:tcPr>
          <w:p>
            <w:r>
              <w:rPr>
                <w:sz w:val="18"/>
                <w:szCs w:val="18"/>
              </w:rPr>
              <w:t xml:space="preserve">Responsabilidade Cósmica</w:t>
            </w:r>
          </w:p>
        </w:tc>
        <w:tc>
          <w:tcPr>
            <w:tcBorders>
              <w:top w:val="single" w:color="9AA6B2" w:sz="1"/>
              <w:left w:val="none"/>
              <w:bottom w:val="single" w:color="9AA6B2" w:sz="1"/>
              <w:right w:val="none"/>
            </w:tcBorders>
          </w:tcPr>
          <w:p>
            <w:r>
              <w:rPr>
                <w:sz w:val="18"/>
                <w:szCs w:val="18"/>
              </w:rPr>
              <w:t xml:space="preserve">Dever</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VI</w:t>
            </w:r>
          </w:p>
        </w:tc>
        <w:tc>
          <w:tcPr>
            <w:tcBorders>
              <w:top w:val="single" w:color="9AA6B2" w:sz="1"/>
              <w:left w:val="none"/>
              <w:bottom w:val="single" w:color="9AA6B2" w:sz="1"/>
              <w:right w:val="none"/>
            </w:tcBorders>
          </w:tcPr>
          <w:p>
            <w:r>
              <w:rPr>
                <w:sz w:val="18"/>
                <w:szCs w:val="18"/>
              </w:rPr>
              <w:t xml:space="preserve">Crescimento Contínuo</w:t>
            </w:r>
          </w:p>
        </w:tc>
        <w:tc>
          <w:tcPr>
            <w:tcBorders>
              <w:top w:val="single" w:color="9AA6B2" w:sz="1"/>
              <w:left w:val="none"/>
              <w:bottom w:val="single" w:color="9AA6B2" w:sz="1"/>
              <w:right w:val="none"/>
            </w:tcBorders>
          </w:tcPr>
          <w:p>
            <w:r>
              <w:rPr>
                <w:sz w:val="18"/>
                <w:szCs w:val="18"/>
              </w:rPr>
              <w:t xml:space="preserve">Evolução</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VII</w:t>
            </w:r>
          </w:p>
        </w:tc>
        <w:tc>
          <w:tcPr>
            <w:tcBorders>
              <w:top w:val="single" w:color="9AA6B2" w:sz="1"/>
              <w:left w:val="none"/>
              <w:bottom w:val="single" w:color="9AA6B2" w:sz="1"/>
              <w:right w:val="none"/>
            </w:tcBorders>
          </w:tcPr>
          <w:p>
            <w:r>
              <w:rPr>
                <w:sz w:val="18"/>
                <w:szCs w:val="18"/>
              </w:rPr>
              <w:t xml:space="preserve">Conexão Universal</w:t>
            </w:r>
          </w:p>
        </w:tc>
        <w:tc>
          <w:tcPr>
            <w:tcBorders>
              <w:top w:val="single" w:color="9AA6B2" w:sz="1"/>
              <w:left w:val="none"/>
              <w:bottom w:val="single" w:color="9AA6B2" w:sz="1"/>
              <w:right w:val="none"/>
            </w:tcBorders>
          </w:tcPr>
          <w:p>
            <w:r>
              <w:rPr>
                <w:sz w:val="18"/>
                <w:szCs w:val="18"/>
              </w:rPr>
              <w:t xml:space="preserve">Unidade</w:t>
            </w:r>
          </w:p>
        </w:tc>
        <w:tc>
          <w:tcPr>
            <w:tcBorders>
              <w:top w:val="single" w:color="9AA6B2" w:sz="1"/>
              <w:left w:val="none"/>
              <w:bottom w:val="single" w:color="9AA6B2" w:sz="1"/>
              <w:right w:val="none"/>
            </w:tcBorders>
            <w:shd w:fill="EFF6FF" w:val="clear"/>
          </w:tcPr>
          <w:p>
            <w:r>
              <w:rPr>
                <w:i/>
                <w:iCs/>
                <w:sz w:val="18"/>
                <w:szCs w:val="18"/>
              </w:rPr>
              <w:t xml:space="preserve">Fundamental</w:t>
            </w:r>
          </w:p>
        </w:tc>
      </w:tr>
      <w:tr>
        <w:tc>
          <w:tcPr>
            <w:tcBorders>
              <w:top w:val="single" w:color="9AA6B2" w:sz="1"/>
              <w:left w:val="none"/>
              <w:bottom w:val="single" w:color="9AA6B2" w:sz="1"/>
              <w:right w:val="none"/>
            </w:tcBorders>
            <w:vAlign w:val="center"/>
          </w:tcPr>
          <w:p>
            <w:pPr>
              <w:jc w:val="center"/>
            </w:pPr>
            <w:r>
              <w:rPr>
                <w:b/>
                <w:bCs/>
                <w:sz w:val="18"/>
                <w:szCs w:val="18"/>
              </w:rPr>
              <w:t xml:space="preserve">VIII</w:t>
            </w:r>
          </w:p>
        </w:tc>
        <w:tc>
          <w:tcPr>
            <w:tcBorders>
              <w:top w:val="single" w:color="9AA6B2" w:sz="1"/>
              <w:left w:val="none"/>
              <w:bottom w:val="single" w:color="9AA6B2" w:sz="1"/>
              <w:right w:val="none"/>
            </w:tcBorders>
          </w:tcPr>
          <w:p>
            <w:r>
              <w:rPr>
                <w:sz w:val="18"/>
                <w:szCs w:val="18"/>
              </w:rPr>
              <w:t xml:space="preserve">Reverência ao Aethra</w:t>
            </w:r>
          </w:p>
        </w:tc>
        <w:tc>
          <w:tcPr>
            <w:tcBorders>
              <w:top w:val="single" w:color="9AA6B2" w:sz="1"/>
              <w:left w:val="none"/>
              <w:bottom w:val="single" w:color="9AA6B2" w:sz="1"/>
              <w:right w:val="none"/>
            </w:tcBorders>
          </w:tcPr>
          <w:p>
            <w:r>
              <w:rPr>
                <w:sz w:val="18"/>
                <w:szCs w:val="18"/>
              </w:rPr>
              <w:t xml:space="preserve">Poder</w:t>
            </w:r>
          </w:p>
        </w:tc>
        <w:tc>
          <w:tcPr>
            <w:tcBorders>
              <w:top w:val="single" w:color="9AA6B2" w:sz="1"/>
              <w:left w:val="none"/>
              <w:bottom w:val="single" w:color="9AA6B2" w:sz="1"/>
              <w:right w:val="none"/>
            </w:tcBorders>
            <w:shd w:fill="F0F9FF" w:val="clear"/>
          </w:tcPr>
          <w:p>
            <w:r>
              <w:rPr>
                <w:i/>
                <w:iCs/>
                <w:sz w:val="18"/>
                <w:szCs w:val="18"/>
              </w:rPr>
              <w:t xml:space="preserve">Conduta</w:t>
            </w:r>
          </w:p>
        </w:tc>
      </w:tr>
      <w:tr>
        <w:tc>
          <w:tcPr>
            <w:tcBorders>
              <w:top w:val="single" w:color="9AA6B2" w:sz="1"/>
              <w:left w:val="none"/>
              <w:bottom w:val="single" w:color="9AA6B2" w:sz="1"/>
              <w:right w:val="none"/>
            </w:tcBorders>
            <w:vAlign w:val="center"/>
          </w:tcPr>
          <w:p>
            <w:pPr>
              <w:jc w:val="center"/>
            </w:pPr>
            <w:r>
              <w:rPr>
                <w:b/>
                <w:bCs/>
                <w:sz w:val="18"/>
                <w:szCs w:val="18"/>
              </w:rPr>
              <w:t xml:space="preserve">IX</w:t>
            </w:r>
          </w:p>
        </w:tc>
        <w:tc>
          <w:tcPr>
            <w:tcBorders>
              <w:top w:val="single" w:color="9AA6B2" w:sz="1"/>
              <w:left w:val="none"/>
              <w:bottom w:val="single" w:color="9AA6B2" w:sz="1"/>
              <w:right w:val="none"/>
            </w:tcBorders>
          </w:tcPr>
          <w:p>
            <w:r>
              <w:rPr>
                <w:sz w:val="18"/>
                <w:szCs w:val="18"/>
              </w:rPr>
              <w:t xml:space="preserve">Amor como Fundamento</w:t>
            </w:r>
          </w:p>
        </w:tc>
        <w:tc>
          <w:tcPr>
            <w:tcBorders>
              <w:top w:val="single" w:color="9AA6B2" w:sz="1"/>
              <w:left w:val="none"/>
              <w:bottom w:val="single" w:color="9AA6B2" w:sz="1"/>
              <w:right w:val="none"/>
            </w:tcBorders>
          </w:tcPr>
          <w:p>
            <w:r>
              <w:rPr>
                <w:sz w:val="18"/>
                <w:szCs w:val="18"/>
              </w:rPr>
              <w:t xml:space="preserve">Essência</w:t>
            </w:r>
          </w:p>
        </w:tc>
        <w:tc>
          <w:tcPr>
            <w:tcBorders>
              <w:top w:val="single" w:color="9AA6B2" w:sz="1"/>
              <w:left w:val="none"/>
              <w:bottom w:val="single" w:color="9AA6B2" w:sz="1"/>
              <w:right w:val="none"/>
            </w:tcBorders>
            <w:shd w:fill="F0F9FF" w:val="clear"/>
          </w:tcPr>
          <w:p>
            <w:r>
              <w:rPr>
                <w:i/>
                <w:iCs/>
                <w:sz w:val="18"/>
                <w:szCs w:val="18"/>
              </w:rPr>
              <w:t xml:space="preserve">Conduta</w:t>
            </w:r>
          </w:p>
        </w:tc>
      </w:tr>
      <w:tr>
        <w:tc>
          <w:tcPr>
            <w:tcBorders>
              <w:top w:val="single" w:color="9AA6B2" w:sz="1"/>
              <w:left w:val="none"/>
              <w:bottom w:val="single" w:color="9AA6B2" w:sz="1"/>
              <w:right w:val="none"/>
            </w:tcBorders>
            <w:vAlign w:val="center"/>
          </w:tcPr>
          <w:p>
            <w:pPr>
              <w:jc w:val="center"/>
            </w:pPr>
            <w:r>
              <w:rPr>
                <w:b/>
                <w:bCs/>
                <w:sz w:val="18"/>
                <w:szCs w:val="18"/>
              </w:rPr>
              <w:t xml:space="preserve">X</w:t>
            </w:r>
          </w:p>
        </w:tc>
        <w:tc>
          <w:tcPr>
            <w:tcBorders>
              <w:top w:val="single" w:color="9AA6B2" w:sz="1"/>
              <w:left w:val="none"/>
              <w:bottom w:val="single" w:color="9AA6B2" w:sz="1"/>
              <w:right w:val="none"/>
            </w:tcBorders>
          </w:tcPr>
          <w:p>
            <w:r>
              <w:rPr>
                <w:sz w:val="18"/>
                <w:szCs w:val="18"/>
              </w:rPr>
              <w:t xml:space="preserve">Honra aos Ancestrais</w:t>
            </w:r>
          </w:p>
        </w:tc>
        <w:tc>
          <w:tcPr>
            <w:tcBorders>
              <w:top w:val="single" w:color="9AA6B2" w:sz="1"/>
              <w:left w:val="none"/>
              <w:bottom w:val="single" w:color="9AA6B2" w:sz="1"/>
              <w:right w:val="none"/>
            </w:tcBorders>
          </w:tcPr>
          <w:p>
            <w:r>
              <w:rPr>
                <w:sz w:val="18"/>
                <w:szCs w:val="18"/>
              </w:rPr>
              <w:t xml:space="preserve">Tradição</w:t>
            </w:r>
          </w:p>
        </w:tc>
        <w:tc>
          <w:tcPr>
            <w:tcBorders>
              <w:top w:val="single" w:color="9AA6B2" w:sz="1"/>
              <w:left w:val="none"/>
              <w:bottom w:val="single" w:color="9AA6B2" w:sz="1"/>
              <w:right w:val="none"/>
            </w:tcBorders>
            <w:shd w:fill="F0F9FF" w:val="clear"/>
          </w:tcPr>
          <w:p>
            <w:r>
              <w:rPr>
                <w:i/>
                <w:iCs/>
                <w:sz w:val="18"/>
                <w:szCs w:val="18"/>
              </w:rPr>
              <w:t xml:space="preserve">Conduta</w:t>
            </w:r>
          </w:p>
        </w:tc>
      </w:tr>
      <w:tr>
        <w:tc>
          <w:tcPr>
            <w:tcBorders>
              <w:top w:val="single" w:color="9AA6B2" w:sz="1"/>
              <w:left w:val="none"/>
              <w:bottom w:val="single" w:color="9AA6B2" w:sz="1"/>
              <w:right w:val="none"/>
            </w:tcBorders>
            <w:vAlign w:val="center"/>
          </w:tcPr>
          <w:p>
            <w:pPr>
              <w:jc w:val="center"/>
            </w:pPr>
            <w:r>
              <w:rPr>
                <w:b/>
                <w:bCs/>
                <w:sz w:val="18"/>
                <w:szCs w:val="18"/>
              </w:rPr>
              <w:t xml:space="preserve">XI</w:t>
            </w:r>
          </w:p>
        </w:tc>
        <w:tc>
          <w:tcPr>
            <w:tcBorders>
              <w:top w:val="single" w:color="9AA6B2" w:sz="1"/>
              <w:left w:val="none"/>
              <w:bottom w:val="single" w:color="9AA6B2" w:sz="1"/>
              <w:right w:val="none"/>
            </w:tcBorders>
          </w:tcPr>
          <w:p>
            <w:r>
              <w:rPr>
                <w:sz w:val="18"/>
                <w:szCs w:val="18"/>
              </w:rPr>
              <w:t xml:space="preserve">Justiça Restaurativa</w:t>
            </w:r>
          </w:p>
        </w:tc>
        <w:tc>
          <w:tcPr>
            <w:tcBorders>
              <w:top w:val="single" w:color="9AA6B2" w:sz="1"/>
              <w:left w:val="none"/>
              <w:bottom w:val="single" w:color="9AA6B2" w:sz="1"/>
              <w:right w:val="none"/>
            </w:tcBorders>
          </w:tcPr>
          <w:p>
            <w:r>
              <w:rPr>
                <w:sz w:val="18"/>
                <w:szCs w:val="18"/>
              </w:rPr>
              <w:t xml:space="preserve">Equilíbrio</w:t>
            </w:r>
          </w:p>
        </w:tc>
        <w:tc>
          <w:tcPr>
            <w:tcBorders>
              <w:top w:val="single" w:color="9AA6B2" w:sz="1"/>
              <w:left w:val="none"/>
              <w:bottom w:val="single" w:color="9AA6B2" w:sz="1"/>
              <w:right w:val="none"/>
            </w:tcBorders>
            <w:shd w:fill="F0F9FF" w:val="clear"/>
          </w:tcPr>
          <w:p>
            <w:r>
              <w:rPr>
                <w:i/>
                <w:iCs/>
                <w:sz w:val="18"/>
                <w:szCs w:val="18"/>
              </w:rPr>
              <w:t xml:space="preserve">Conduta</w:t>
            </w:r>
          </w:p>
        </w:tc>
      </w:tr>
      <w:tr>
        <w:tc>
          <w:tcPr>
            <w:tcBorders>
              <w:top w:val="single" w:color="9AA6B2" w:sz="1"/>
              <w:left w:val="none"/>
              <w:bottom w:val="single" w:color="9AA6B2" w:sz="1"/>
              <w:right w:val="none"/>
            </w:tcBorders>
            <w:vAlign w:val="center"/>
          </w:tcPr>
          <w:p>
            <w:pPr>
              <w:jc w:val="center"/>
            </w:pPr>
            <w:r>
              <w:rPr>
                <w:b/>
                <w:bCs/>
                <w:sz w:val="18"/>
                <w:szCs w:val="18"/>
              </w:rPr>
              <w:t xml:space="preserve">XII</w:t>
            </w:r>
          </w:p>
        </w:tc>
        <w:tc>
          <w:tcPr>
            <w:tcBorders>
              <w:top w:val="single" w:color="9AA6B2" w:sz="1"/>
              <w:left w:val="none"/>
              <w:bottom w:val="single" w:color="9AA6B2" w:sz="1"/>
              <w:right w:val="none"/>
            </w:tcBorders>
          </w:tcPr>
          <w:p>
            <w:r>
              <w:rPr>
                <w:sz w:val="18"/>
                <w:szCs w:val="18"/>
              </w:rPr>
              <w:t xml:space="preserve">Fraternidade Universal</w:t>
            </w:r>
          </w:p>
        </w:tc>
        <w:tc>
          <w:tcPr>
            <w:tcBorders>
              <w:top w:val="single" w:color="9AA6B2" w:sz="1"/>
              <w:left w:val="none"/>
              <w:bottom w:val="single" w:color="9AA6B2" w:sz="1"/>
              <w:right w:val="none"/>
            </w:tcBorders>
          </w:tcPr>
          <w:p>
            <w:r>
              <w:rPr>
                <w:sz w:val="18"/>
                <w:szCs w:val="18"/>
              </w:rPr>
              <w:t xml:space="preserve">Relação</w:t>
            </w:r>
          </w:p>
        </w:tc>
        <w:tc>
          <w:tcPr>
            <w:tcBorders>
              <w:top w:val="single" w:color="9AA6B2" w:sz="1"/>
              <w:left w:val="none"/>
              <w:bottom w:val="single" w:color="9AA6B2" w:sz="1"/>
              <w:right w:val="none"/>
            </w:tcBorders>
            <w:shd w:fill="F0F9FF" w:val="clear"/>
          </w:tcPr>
          <w:p>
            <w:r>
              <w:rPr>
                <w:i/>
                <w:iCs/>
                <w:sz w:val="18"/>
                <w:szCs w:val="18"/>
              </w:rPr>
              <w:t xml:space="preserve">Conduta</w:t>
            </w:r>
          </w:p>
        </w:tc>
      </w:tr>
    </w:tbl>
    <w:p>
      <w:pPr>
        <w:spacing w:before="100"/>
        <w:jc w:val="center"/>
      </w:pPr>
      <w:r>
        <w:rPr>
          <w:i/>
          <w:iCs/>
          <w:color w:val="9AA6B2"/>
          <w:sz w:val="18"/>
          <w:szCs w:val="18"/>
        </w:rPr>
        <w:t xml:space="preserve">Tabela 3: Resumo das Doze Leis da Pureza</w:t>
      </w:r>
    </w:p>
    <w:p>
      <w:r>
        <w:br w:type="page"/>
      </w:r>
    </w:p>
    <w:p>
      <w:pPr>
        <w:pStyle w:val="Heading2"/>
      </w:pPr>
      <w:r>
        <w:t xml:space="preserve">Os Doze Frutos da Alma Pura</w:t>
      </w:r>
    </w:p>
    <w:p>
      <w:pPr>
        <w:spacing w:after="200"/>
      </w:pPr>
      <w:r>
        <w:t xml:space="preserve">Como a Árvore da Existência produz frutos, uma alma que vive pelas Leis manifesta qualidades visíveis. Estes não são méritos conquistados, mas reflexos naturais de uma essência em harmonia com o universo: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Borders>
              <w:top w:val="single" w:color="9AA6B2" w:sz="1"/>
              <w:left w:val="none"/>
              <w:bottom w:val="single" w:color="9AA6B2" w:sz="1"/>
              <w:right w:val="none"/>
            </w:tcBorders>
            <w:shd w:fill="F1F5F9" w:val="clear"/>
            <w:vAlign w:val="center"/>
          </w:tcPr>
          <w:p>
            <w:pPr>
              <w:jc w:val="center"/>
            </w:pPr>
            <w:r>
              <w:rPr>
                <w:b/>
                <w:bCs/>
                <w:sz w:val="20"/>
                <w:szCs w:val="20"/>
              </w:rPr>
              <w:t xml:space="preserve">Fruto</w:t>
            </w:r>
          </w:p>
        </w:tc>
        <w:tc>
          <w:tcPr>
            <w:tcBorders>
              <w:top w:val="single" w:color="9AA6B2" w:sz="1"/>
              <w:left w:val="none"/>
              <w:bottom w:val="single" w:color="9AA6B2" w:sz="1"/>
              <w:right w:val="none"/>
            </w:tcBorders>
            <w:shd w:fill="F1F5F9" w:val="clear"/>
            <w:vAlign w:val="center"/>
          </w:tcPr>
          <w:p>
            <w:pPr>
              <w:jc w:val="center"/>
            </w:pPr>
            <w:r>
              <w:rPr>
                <w:b/>
                <w:bCs/>
                <w:sz w:val="20"/>
                <w:szCs w:val="20"/>
              </w:rPr>
              <w:t xml:space="preserve">Descrição</w:t>
            </w:r>
          </w:p>
        </w:tc>
      </w:tr>
      <w:tr>
        <w:tc>
          <w:tcPr>
            <w:tcBorders>
              <w:top w:val="single" w:color="9AA6B2" w:sz="1"/>
              <w:left w:val="none"/>
              <w:bottom w:val="single" w:color="9AA6B2" w:sz="1"/>
              <w:right w:val="none"/>
            </w:tcBorders>
            <w:vAlign w:val="center"/>
          </w:tcPr>
          <w:p>
            <w:r>
              <w:rPr>
                <w:b/>
                <w:bCs/>
                <w:sz w:val="20"/>
                <w:szCs w:val="20"/>
              </w:rPr>
              <w:t xml:space="preserve">Paz</w:t>
            </w:r>
          </w:p>
        </w:tc>
        <w:tc>
          <w:tcPr>
            <w:tcBorders>
              <w:top w:val="single" w:color="9AA6B2" w:sz="1"/>
              <w:left w:val="none"/>
              <w:bottom w:val="single" w:color="9AA6B2" w:sz="1"/>
              <w:right w:val="none"/>
            </w:tcBorders>
          </w:tcPr>
          <w:p>
            <w:r>
              <w:rPr>
                <w:sz w:val="20"/>
                <w:szCs w:val="20"/>
              </w:rPr>
              <w:t xml:space="preserve">Serenidade inabalável, mesmo no caos. A certeza interior que transcende as circunstâncias.</w:t>
            </w:r>
          </w:p>
        </w:tc>
      </w:tr>
      <w:tr>
        <w:tc>
          <w:tcPr>
            <w:tcBorders>
              <w:top w:val="single" w:color="9AA6B2" w:sz="1"/>
              <w:left w:val="none"/>
              <w:bottom w:val="single" w:color="9AA6B2" w:sz="1"/>
              <w:right w:val="none"/>
            </w:tcBorders>
            <w:vAlign w:val="center"/>
          </w:tcPr>
          <w:p>
            <w:r>
              <w:rPr>
                <w:b/>
                <w:bCs/>
                <w:sz w:val="20"/>
                <w:szCs w:val="20"/>
              </w:rPr>
              <w:t xml:space="preserve">Paciência</w:t>
            </w:r>
          </w:p>
        </w:tc>
        <w:tc>
          <w:tcPr>
            <w:tcBorders>
              <w:top w:val="single" w:color="9AA6B2" w:sz="1"/>
              <w:left w:val="none"/>
              <w:bottom w:val="single" w:color="9AA6B2" w:sz="1"/>
              <w:right w:val="none"/>
            </w:tcBorders>
          </w:tcPr>
          <w:p>
            <w:r>
              <w:rPr>
                <w:sz w:val="20"/>
                <w:szCs w:val="20"/>
              </w:rPr>
              <w:t xml:space="preserve">Suportar o insuportável sem perder a essência. A força de esperar o tempo necessário.</w:t>
            </w:r>
          </w:p>
        </w:tc>
      </w:tr>
      <w:tr>
        <w:tc>
          <w:tcPr>
            <w:tcBorders>
              <w:top w:val="single" w:color="9AA6B2" w:sz="1"/>
              <w:left w:val="none"/>
              <w:bottom w:val="single" w:color="9AA6B2" w:sz="1"/>
              <w:right w:val="none"/>
            </w:tcBorders>
            <w:vAlign w:val="center"/>
          </w:tcPr>
          <w:p>
            <w:r>
              <w:rPr>
                <w:b/>
                <w:bCs/>
                <w:sz w:val="20"/>
                <w:szCs w:val="20"/>
              </w:rPr>
              <w:t xml:space="preserve">Bondade</w:t>
            </w:r>
          </w:p>
        </w:tc>
        <w:tc>
          <w:tcPr>
            <w:tcBorders>
              <w:top w:val="single" w:color="9AA6B2" w:sz="1"/>
              <w:left w:val="none"/>
              <w:bottom w:val="single" w:color="9AA6B2" w:sz="1"/>
              <w:right w:val="none"/>
            </w:tcBorders>
          </w:tcPr>
          <w:p>
            <w:r>
              <w:rPr>
                <w:sz w:val="20"/>
                <w:szCs w:val="20"/>
              </w:rPr>
              <w:t xml:space="preserve">Agir para o bem mesmo sem expectativa de retorno. A generosidade que flui naturalmente.</w:t>
            </w:r>
          </w:p>
        </w:tc>
      </w:tr>
      <w:tr>
        <w:tc>
          <w:tcPr>
            <w:tcBorders>
              <w:top w:val="single" w:color="9AA6B2" w:sz="1"/>
              <w:left w:val="none"/>
              <w:bottom w:val="single" w:color="9AA6B2" w:sz="1"/>
              <w:right w:val="none"/>
            </w:tcBorders>
            <w:vAlign w:val="center"/>
          </w:tcPr>
          <w:p>
            <w:r>
              <w:rPr>
                <w:b/>
                <w:bCs/>
                <w:sz w:val="20"/>
                <w:szCs w:val="20"/>
              </w:rPr>
              <w:t xml:space="preserve">Fidelidade</w:t>
            </w:r>
          </w:p>
        </w:tc>
        <w:tc>
          <w:tcPr>
            <w:tcBorders>
              <w:top w:val="single" w:color="9AA6B2" w:sz="1"/>
              <w:left w:val="none"/>
              <w:bottom w:val="single" w:color="9AA6B2" w:sz="1"/>
              <w:right w:val="none"/>
            </w:tcBorders>
          </w:tcPr>
          <w:p>
            <w:r>
              <w:rPr>
                <w:sz w:val="20"/>
                <w:szCs w:val="20"/>
              </w:rPr>
              <w:t xml:space="preserve">Manter compromissos mesmo quando custa. A palavra que se cumpre independentemente do preço.</w:t>
            </w:r>
          </w:p>
        </w:tc>
      </w:tr>
      <w:tr>
        <w:tc>
          <w:tcPr>
            <w:tcBorders>
              <w:top w:val="single" w:color="9AA6B2" w:sz="1"/>
              <w:left w:val="none"/>
              <w:bottom w:val="single" w:color="9AA6B2" w:sz="1"/>
              <w:right w:val="none"/>
            </w:tcBorders>
            <w:vAlign w:val="center"/>
          </w:tcPr>
          <w:p>
            <w:r>
              <w:rPr>
                <w:b/>
                <w:bCs/>
                <w:sz w:val="20"/>
                <w:szCs w:val="20"/>
              </w:rPr>
              <w:t xml:space="preserve">Mansidão</w:t>
            </w:r>
          </w:p>
        </w:tc>
        <w:tc>
          <w:tcPr>
            <w:tcBorders>
              <w:top w:val="single" w:color="9AA6B2" w:sz="1"/>
              <w:left w:val="none"/>
              <w:bottom w:val="single" w:color="9AA6B2" w:sz="1"/>
              <w:right w:val="none"/>
            </w:tcBorders>
          </w:tcPr>
          <w:p>
            <w:r>
              <w:rPr>
                <w:sz w:val="20"/>
                <w:szCs w:val="20"/>
              </w:rPr>
              <w:t xml:space="preserve">Poder controlado, força a serviço da proteção. A capacidade de ser forte sem ser cruel.</w:t>
            </w:r>
          </w:p>
        </w:tc>
      </w:tr>
      <w:tr>
        <w:tc>
          <w:tcPr>
            <w:tcBorders>
              <w:top w:val="single" w:color="9AA6B2" w:sz="1"/>
              <w:left w:val="none"/>
              <w:bottom w:val="single" w:color="9AA6B2" w:sz="1"/>
              <w:right w:val="none"/>
            </w:tcBorders>
            <w:vAlign w:val="center"/>
          </w:tcPr>
          <w:p>
            <w:r>
              <w:rPr>
                <w:b/>
                <w:bCs/>
                <w:sz w:val="20"/>
                <w:szCs w:val="20"/>
              </w:rPr>
              <w:t xml:space="preserve">Domínio Próprio</w:t>
            </w:r>
          </w:p>
        </w:tc>
        <w:tc>
          <w:tcPr>
            <w:tcBorders>
              <w:top w:val="single" w:color="9AA6B2" w:sz="1"/>
              <w:left w:val="none"/>
              <w:bottom w:val="single" w:color="9AA6B2" w:sz="1"/>
              <w:right w:val="none"/>
            </w:tcBorders>
          </w:tcPr>
          <w:p>
            <w:r>
              <w:rPr>
                <w:sz w:val="20"/>
                <w:szCs w:val="20"/>
              </w:rPr>
              <w:t xml:space="preserve">Não ser escravo dos próprios impulsos. A liberdade de escolher a resposta certa.</w:t>
            </w:r>
          </w:p>
        </w:tc>
      </w:tr>
      <w:tr>
        <w:tc>
          <w:tcPr>
            <w:tcBorders>
              <w:top w:val="single" w:color="9AA6B2" w:sz="1"/>
              <w:left w:val="none"/>
              <w:bottom w:val="single" w:color="9AA6B2" w:sz="1"/>
              <w:right w:val="none"/>
            </w:tcBorders>
            <w:vAlign w:val="center"/>
          </w:tcPr>
          <w:p>
            <w:r>
              <w:rPr>
                <w:b/>
                <w:bCs/>
                <w:sz w:val="20"/>
                <w:szCs w:val="20"/>
              </w:rPr>
              <w:t xml:space="preserve">Sabedoria</w:t>
            </w:r>
          </w:p>
        </w:tc>
        <w:tc>
          <w:tcPr>
            <w:tcBorders>
              <w:top w:val="single" w:color="9AA6B2" w:sz="1"/>
              <w:left w:val="none"/>
              <w:bottom w:val="single" w:color="9AA6B2" w:sz="1"/>
              <w:right w:val="none"/>
            </w:tcBorders>
          </w:tcPr>
          <w:p>
            <w:r>
              <w:rPr>
                <w:sz w:val="20"/>
                <w:szCs w:val="20"/>
              </w:rPr>
              <w:t xml:space="preserve">Ver além das aparências, compreender profundamente. O conhecimento aplicado com discernimento.</w:t>
            </w:r>
          </w:p>
        </w:tc>
      </w:tr>
      <w:tr>
        <w:tc>
          <w:tcPr>
            <w:tcBorders>
              <w:top w:val="single" w:color="9AA6B2" w:sz="1"/>
              <w:left w:val="none"/>
              <w:bottom w:val="single" w:color="9AA6B2" w:sz="1"/>
              <w:right w:val="none"/>
            </w:tcBorders>
            <w:vAlign w:val="center"/>
          </w:tcPr>
          <w:p>
            <w:r>
              <w:rPr>
                <w:b/>
                <w:bCs/>
                <w:sz w:val="20"/>
                <w:szCs w:val="20"/>
              </w:rPr>
              <w:t xml:space="preserve">Coragem</w:t>
            </w:r>
          </w:p>
        </w:tc>
        <w:tc>
          <w:tcPr>
            <w:tcBorders>
              <w:top w:val="single" w:color="9AA6B2" w:sz="1"/>
              <w:left w:val="none"/>
              <w:bottom w:val="single" w:color="9AA6B2" w:sz="1"/>
              <w:right w:val="none"/>
            </w:tcBorders>
          </w:tcPr>
          <w:p>
            <w:r>
              <w:rPr>
                <w:sz w:val="20"/>
                <w:szCs w:val="20"/>
              </w:rPr>
              <w:t xml:space="preserve">Agir corretamente mesmo com medo. A força que não nega o temor, mas o transcende.</w:t>
            </w:r>
          </w:p>
        </w:tc>
      </w:tr>
      <w:tr>
        <w:tc>
          <w:tcPr>
            <w:tcBorders>
              <w:top w:val="single" w:color="9AA6B2" w:sz="1"/>
              <w:left w:val="none"/>
              <w:bottom w:val="single" w:color="9AA6B2" w:sz="1"/>
              <w:right w:val="none"/>
            </w:tcBorders>
            <w:vAlign w:val="center"/>
          </w:tcPr>
          <w:p>
            <w:r>
              <w:rPr>
                <w:b/>
                <w:bCs/>
                <w:sz w:val="20"/>
                <w:szCs w:val="20"/>
              </w:rPr>
              <w:t xml:space="preserve">Humildade</w:t>
            </w:r>
          </w:p>
        </w:tc>
        <w:tc>
          <w:tcPr>
            <w:tcBorders>
              <w:top w:val="single" w:color="9AA6B2" w:sz="1"/>
              <w:left w:val="none"/>
              <w:bottom w:val="single" w:color="9AA6B2" w:sz="1"/>
              <w:right w:val="none"/>
            </w:tcBorders>
          </w:tcPr>
          <w:p>
            <w:r>
              <w:rPr>
                <w:sz w:val="20"/>
                <w:szCs w:val="20"/>
              </w:rPr>
              <w:t xml:space="preserve">Conhecer o verdadeiro lugar no universo. A consciência de ser parte, não o todo.</w:t>
            </w:r>
          </w:p>
        </w:tc>
      </w:tr>
      <w:tr>
        <w:tc>
          <w:tcPr>
            <w:tcBorders>
              <w:top w:val="single" w:color="9AA6B2" w:sz="1"/>
              <w:left w:val="none"/>
              <w:bottom w:val="single" w:color="9AA6B2" w:sz="1"/>
              <w:right w:val="none"/>
            </w:tcBorders>
            <w:vAlign w:val="center"/>
          </w:tcPr>
          <w:p>
            <w:r>
              <w:rPr>
                <w:b/>
                <w:bCs/>
                <w:sz w:val="20"/>
                <w:szCs w:val="20"/>
              </w:rPr>
              <w:t xml:space="preserve">Generosidade</w:t>
            </w:r>
          </w:p>
        </w:tc>
        <w:tc>
          <w:tcPr>
            <w:tcBorders>
              <w:top w:val="single" w:color="9AA6B2" w:sz="1"/>
              <w:left w:val="none"/>
              <w:bottom w:val="single" w:color="9AA6B2" w:sz="1"/>
              <w:right w:val="none"/>
            </w:tcBorders>
          </w:tcPr>
          <w:p>
            <w:r>
              <w:rPr>
                <w:sz w:val="20"/>
                <w:szCs w:val="20"/>
              </w:rPr>
              <w:t xml:space="preserve">Dar sem medir, confiar na abundância. A certeza de que dar é receber em outra forma.</w:t>
            </w:r>
          </w:p>
        </w:tc>
      </w:tr>
      <w:tr>
        <w:tc>
          <w:tcPr>
            <w:tcBorders>
              <w:top w:val="single" w:color="9AA6B2" w:sz="1"/>
              <w:left w:val="none"/>
              <w:bottom w:val="single" w:color="9AA6B2" w:sz="1"/>
              <w:right w:val="none"/>
            </w:tcBorders>
            <w:vAlign w:val="center"/>
          </w:tcPr>
          <w:p>
            <w:r>
              <w:rPr>
                <w:b/>
                <w:bCs/>
                <w:sz w:val="20"/>
                <w:szCs w:val="20"/>
              </w:rPr>
              <w:t xml:space="preserve">Perdão</w:t>
            </w:r>
          </w:p>
        </w:tc>
        <w:tc>
          <w:tcPr>
            <w:tcBorders>
              <w:top w:val="single" w:color="9AA6B2" w:sz="1"/>
              <w:left w:val="none"/>
              <w:bottom w:val="single" w:color="9AA6B2" w:sz="1"/>
              <w:right w:val="none"/>
            </w:tcBorders>
          </w:tcPr>
          <w:p>
            <w:r>
              <w:rPr>
                <w:sz w:val="20"/>
                <w:szCs w:val="20"/>
              </w:rPr>
              <w:t xml:space="preserve">Libertar outros das correntes do ressentimento. A compreensão de que perdoar é libertar-se.</w:t>
            </w:r>
          </w:p>
        </w:tc>
      </w:tr>
      <w:tr>
        <w:tc>
          <w:tcPr>
            <w:tcBorders>
              <w:top w:val="single" w:color="9AA6B2" w:sz="1"/>
              <w:left w:val="none"/>
              <w:bottom w:val="single" w:color="9AA6B2" w:sz="1"/>
              <w:right w:val="none"/>
            </w:tcBorders>
            <w:vAlign w:val="center"/>
          </w:tcPr>
          <w:p>
            <w:r>
              <w:rPr>
                <w:b/>
                <w:bCs/>
                <w:sz w:val="20"/>
                <w:szCs w:val="20"/>
              </w:rPr>
              <w:t xml:space="preserve">Esperança</w:t>
            </w:r>
          </w:p>
        </w:tc>
        <w:tc>
          <w:tcPr>
            <w:tcBorders>
              <w:top w:val="single" w:color="9AA6B2" w:sz="1"/>
              <w:left w:val="none"/>
              <w:bottom w:val="single" w:color="9AA6B2" w:sz="1"/>
              <w:right w:val="none"/>
            </w:tcBorders>
          </w:tcPr>
          <w:p>
            <w:r>
              <w:rPr>
                <w:sz w:val="20"/>
                <w:szCs w:val="20"/>
              </w:rPr>
              <w:t xml:space="preserve">Manter a luz mesmo na escuridão mais profunda. A certeza de que o amanhecer virá.</w:t>
            </w:r>
          </w:p>
        </w:tc>
      </w:tr>
    </w:tbl>
    <w:p>
      <w:pPr>
        <w:spacing w:before="100"/>
        <w:jc w:val="center"/>
      </w:pPr>
      <w:r>
        <w:rPr>
          <w:i/>
          <w:iCs/>
          <w:color w:val="9AA6B2"/>
          <w:sz w:val="18"/>
          <w:szCs w:val="18"/>
        </w:rPr>
        <w:t xml:space="preserve">Tabela 4: Os Doze Frutos da Alma Pura</w:t>
      </w:r>
    </w:p>
    <w:p>
      <w:pPr>
        <w:pStyle w:val="Heading2"/>
      </w:pPr>
      <w:r>
        <w:t xml:space="preserve">As Sete Corrupções da Alma</w:t>
      </w:r>
    </w:p>
    <w:p>
      <w:pPr>
        <w:spacing w:after="200"/>
      </w:pPr>
      <w:r>
        <w:t xml:space="preserve">Oposto dos frutos, estas são as doenças espirituais que corrompem a alma e impedem a transcendência: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180"/>
        <w:gridCol w:w="3180"/>
      </w:tblGrid>
      <w:tr>
        <w:trPr>
          <w:tblHeader/>
        </w:trPr>
        <w:tc>
          <w:tcPr>
            <w:tcBorders>
              <w:top w:val="single" w:color="9AA6B2" w:sz="1"/>
              <w:left w:val="none"/>
              <w:bottom w:val="single" w:color="9AA6B2" w:sz="1"/>
              <w:right w:val="none"/>
            </w:tcBorders>
            <w:shd w:fill="F1F5F9" w:val="clear"/>
            <w:vAlign w:val="center"/>
          </w:tcPr>
          <w:p>
            <w:pPr>
              <w:jc w:val="center"/>
            </w:pPr>
            <w:r>
              <w:rPr>
                <w:b/>
                <w:bCs/>
                <w:sz w:val="20"/>
                <w:szCs w:val="20"/>
              </w:rPr>
              <w:t xml:space="preserve">Corrupção</w:t>
            </w:r>
          </w:p>
        </w:tc>
        <w:tc>
          <w:tcPr>
            <w:tcBorders>
              <w:top w:val="single" w:color="9AA6B2" w:sz="1"/>
              <w:left w:val="none"/>
              <w:bottom w:val="single" w:color="9AA6B2" w:sz="1"/>
              <w:right w:val="none"/>
            </w:tcBorders>
            <w:shd w:fill="F1F5F9" w:val="clear"/>
            <w:vAlign w:val="center"/>
          </w:tcPr>
          <w:p>
            <w:pPr>
              <w:jc w:val="center"/>
            </w:pPr>
            <w:r>
              <w:rPr>
                <w:b/>
                <w:bCs/>
                <w:sz w:val="20"/>
                <w:szCs w:val="20"/>
              </w:rPr>
              <w:t xml:space="preserve">Descrição</w:t>
            </w:r>
          </w:p>
        </w:tc>
        <w:tc>
          <w:tcPr>
            <w:tcBorders>
              <w:top w:val="single" w:color="9AA6B2" w:sz="1"/>
              <w:left w:val="none"/>
              <w:bottom w:val="single" w:color="9AA6B2" w:sz="1"/>
              <w:right w:val="none"/>
            </w:tcBorders>
            <w:shd w:fill="F1F5F9" w:val="clear"/>
            <w:vAlign w:val="center"/>
          </w:tcPr>
          <w:p>
            <w:pPr>
              <w:jc w:val="center"/>
            </w:pPr>
            <w:r>
              <w:rPr>
                <w:b/>
                <w:bCs/>
                <w:sz w:val="20"/>
                <w:szCs w:val="20"/>
              </w:rPr>
              <w:t xml:space="preserve">Leis Violadas</w:t>
            </w:r>
          </w:p>
        </w:tc>
      </w:tr>
      <w:tr>
        <w:tc>
          <w:tcPr>
            <w:tcBorders>
              <w:top w:val="single" w:color="9AA6B2" w:sz="1"/>
              <w:left w:val="none"/>
              <w:bottom w:val="single" w:color="9AA6B2" w:sz="1"/>
              <w:right w:val="none"/>
            </w:tcBorders>
            <w:shd w:fill="FEE2E2" w:val="clear"/>
            <w:vAlign w:val="center"/>
          </w:tcPr>
          <w:p>
            <w:r>
              <w:rPr>
                <w:b/>
                <w:bCs/>
                <w:color w:val="991B1B"/>
                <w:sz w:val="20"/>
                <w:szCs w:val="20"/>
              </w:rPr>
              <w:t xml:space="preserve">Soberba</w:t>
            </w:r>
          </w:p>
        </w:tc>
        <w:tc>
          <w:tcPr>
            <w:tcBorders>
              <w:top w:val="single" w:color="9AA6B2" w:sz="1"/>
              <w:left w:val="none"/>
              <w:bottom w:val="single" w:color="9AA6B2" w:sz="1"/>
              <w:right w:val="none"/>
            </w:tcBorders>
          </w:tcPr>
          <w:p>
            <w:r>
              <w:rPr>
                <w:sz w:val="20"/>
                <w:szCs w:val="20"/>
              </w:rPr>
              <w:t xml:space="preserve">Achar-se acima de tudo e todos. O orgulho que rejeita a dependência.</w:t>
            </w:r>
          </w:p>
        </w:tc>
        <w:tc>
          <w:tcPr>
            <w:tcBorders>
              <w:top w:val="single" w:color="9AA6B2" w:sz="1"/>
              <w:left w:val="none"/>
              <w:bottom w:val="single" w:color="9AA6B2" w:sz="1"/>
              <w:right w:val="none"/>
            </w:tcBorders>
          </w:tcPr>
          <w:p>
            <w:r>
              <w:rPr>
                <w:sz w:val="20"/>
                <w:szCs w:val="20"/>
              </w:rPr>
              <w:t xml:space="preserve">I, VI</w:t>
            </w:r>
          </w:p>
        </w:tc>
      </w:tr>
      <w:tr>
        <w:tc>
          <w:tcPr>
            <w:tcBorders>
              <w:top w:val="single" w:color="9AA6B2" w:sz="1"/>
              <w:left w:val="none"/>
              <w:bottom w:val="single" w:color="9AA6B2" w:sz="1"/>
              <w:right w:val="none"/>
            </w:tcBorders>
            <w:shd w:fill="FEF3C7" w:val="clear"/>
            <w:vAlign w:val="center"/>
          </w:tcPr>
          <w:p>
            <w:r>
              <w:rPr>
                <w:b/>
                <w:bCs/>
                <w:color w:val="92400E"/>
                <w:sz w:val="20"/>
                <w:szCs w:val="20"/>
              </w:rPr>
              <w:t xml:space="preserve">Ganância</w:t>
            </w:r>
          </w:p>
        </w:tc>
        <w:tc>
          <w:tcPr>
            <w:tcBorders>
              <w:top w:val="single" w:color="9AA6B2" w:sz="1"/>
              <w:left w:val="none"/>
              <w:bottom w:val="single" w:color="9AA6B2" w:sz="1"/>
              <w:right w:val="none"/>
            </w:tcBorders>
          </w:tcPr>
          <w:p>
            <w:r>
              <w:rPr>
                <w:sz w:val="20"/>
                <w:szCs w:val="20"/>
              </w:rPr>
              <w:t xml:space="preserve">Acumular além do necessário, nunca bastar. O vazio que tenta se preencher com posse.</w:t>
            </w:r>
          </w:p>
        </w:tc>
        <w:tc>
          <w:tcPr>
            <w:tcBorders>
              <w:top w:val="single" w:color="9AA6B2" w:sz="1"/>
              <w:left w:val="none"/>
              <w:bottom w:val="single" w:color="9AA6B2" w:sz="1"/>
              <w:right w:val="none"/>
            </w:tcBorders>
          </w:tcPr>
          <w:p>
            <w:r>
              <w:rPr>
                <w:sz w:val="20"/>
                <w:szCs w:val="20"/>
              </w:rPr>
              <w:t xml:space="preserve">V, VIII, IX</w:t>
            </w:r>
          </w:p>
        </w:tc>
      </w:tr>
      <w:tr>
        <w:tc>
          <w:tcPr>
            <w:tcBorders>
              <w:top w:val="single" w:color="9AA6B2" w:sz="1"/>
              <w:left w:val="none"/>
              <w:bottom w:val="single" w:color="9AA6B2" w:sz="1"/>
              <w:right w:val="none"/>
            </w:tcBorders>
            <w:shd w:fill="FCE7F3" w:val="clear"/>
            <w:vAlign w:val="center"/>
          </w:tcPr>
          <w:p>
            <w:r>
              <w:rPr>
                <w:b/>
                <w:bCs/>
                <w:color w:val="9D174D"/>
                <w:sz w:val="20"/>
                <w:szCs w:val="20"/>
              </w:rPr>
              <w:t xml:space="preserve">Luxúria</w:t>
            </w:r>
          </w:p>
        </w:tc>
        <w:tc>
          <w:tcPr>
            <w:tcBorders>
              <w:top w:val="single" w:color="9AA6B2" w:sz="1"/>
              <w:left w:val="none"/>
              <w:bottom w:val="single" w:color="9AA6B2" w:sz="1"/>
              <w:right w:val="none"/>
            </w:tcBorders>
          </w:tcPr>
          <w:p>
            <w:r>
              <w:rPr>
                <w:sz w:val="20"/>
                <w:szCs w:val="20"/>
              </w:rPr>
              <w:t xml:space="preserve">Desejo que consome e objetifica. O impulso que reduz o outro a meio.</w:t>
            </w:r>
          </w:p>
        </w:tc>
        <w:tc>
          <w:tcPr>
            <w:tcBorders>
              <w:top w:val="single" w:color="9AA6B2" w:sz="1"/>
              <w:left w:val="none"/>
              <w:bottom w:val="single" w:color="9AA6B2" w:sz="1"/>
              <w:right w:val="none"/>
            </w:tcBorders>
          </w:tcPr>
          <w:p>
            <w:r>
              <w:rPr>
                <w:sz w:val="20"/>
                <w:szCs w:val="20"/>
              </w:rPr>
              <w:t xml:space="preserve">I, VII, XII</w:t>
            </w:r>
          </w:p>
        </w:tc>
      </w:tr>
      <w:tr>
        <w:tc>
          <w:tcPr>
            <w:tcBorders>
              <w:top w:val="single" w:color="9AA6B2" w:sz="1"/>
              <w:left w:val="none"/>
              <w:bottom w:val="single" w:color="9AA6B2" w:sz="1"/>
              <w:right w:val="none"/>
            </w:tcBorders>
            <w:shd w:fill="FEE2E2" w:val="clear"/>
            <w:vAlign w:val="center"/>
          </w:tcPr>
          <w:p>
            <w:r>
              <w:rPr>
                <w:b/>
                <w:bCs/>
                <w:color w:val="991B1B"/>
                <w:sz w:val="20"/>
                <w:szCs w:val="20"/>
              </w:rPr>
              <w:t xml:space="preserve">Ira</w:t>
            </w:r>
          </w:p>
        </w:tc>
        <w:tc>
          <w:tcPr>
            <w:tcBorders>
              <w:top w:val="single" w:color="9AA6B2" w:sz="1"/>
              <w:left w:val="none"/>
              <w:bottom w:val="single" w:color="9AA6B2" w:sz="1"/>
              <w:right w:val="none"/>
            </w:tcBorders>
          </w:tcPr>
          <w:p>
            <w:r>
              <w:rPr>
                <w:sz w:val="20"/>
                <w:szCs w:val="20"/>
              </w:rPr>
              <w:t xml:space="preserve">Fogo que queima sem construir. A raiva que destrói a si mesmo e ao outro.</w:t>
            </w:r>
          </w:p>
        </w:tc>
        <w:tc>
          <w:tcPr>
            <w:tcBorders>
              <w:top w:val="single" w:color="9AA6B2" w:sz="1"/>
              <w:left w:val="none"/>
              <w:bottom w:val="single" w:color="9AA6B2" w:sz="1"/>
              <w:right w:val="none"/>
            </w:tcBorders>
          </w:tcPr>
          <w:p>
            <w:r>
              <w:rPr>
                <w:sz w:val="20"/>
                <w:szCs w:val="20"/>
              </w:rPr>
              <w:t xml:space="preserve">II, XI</w:t>
            </w:r>
          </w:p>
        </w:tc>
      </w:tr>
      <w:tr>
        <w:tc>
          <w:tcPr>
            <w:tcBorders>
              <w:top w:val="single" w:color="9AA6B2" w:sz="1"/>
              <w:left w:val="none"/>
              <w:bottom w:val="single" w:color="9AA6B2" w:sz="1"/>
              <w:right w:val="none"/>
            </w:tcBorders>
            <w:shd w:fill="D1FAE5" w:val="clear"/>
            <w:vAlign w:val="center"/>
          </w:tcPr>
          <w:p>
            <w:r>
              <w:rPr>
                <w:b/>
                <w:bCs/>
                <w:color w:val="166534"/>
                <w:sz w:val="20"/>
                <w:szCs w:val="20"/>
              </w:rPr>
              <w:t xml:space="preserve">Gula</w:t>
            </w:r>
          </w:p>
        </w:tc>
        <w:tc>
          <w:tcPr>
            <w:tcBorders>
              <w:top w:val="single" w:color="9AA6B2" w:sz="1"/>
              <w:left w:val="none"/>
              <w:bottom w:val="single" w:color="9AA6B2" w:sz="1"/>
              <w:right w:val="none"/>
            </w:tcBorders>
          </w:tcPr>
          <w:p>
            <w:r>
              <w:rPr>
                <w:sz w:val="20"/>
                <w:szCs w:val="20"/>
              </w:rPr>
              <w:t xml:space="preserve">Consumir mais do que se precisa. O apetite sem limites que devora o mundo.</w:t>
            </w:r>
          </w:p>
        </w:tc>
        <w:tc>
          <w:tcPr>
            <w:tcBorders>
              <w:top w:val="single" w:color="9AA6B2" w:sz="1"/>
              <w:left w:val="none"/>
              <w:bottom w:val="single" w:color="9AA6B2" w:sz="1"/>
              <w:right w:val="none"/>
            </w:tcBorders>
          </w:tcPr>
          <w:p>
            <w:r>
              <w:rPr>
                <w:sz w:val="20"/>
                <w:szCs w:val="20"/>
              </w:rPr>
              <w:t xml:space="preserve">V, VIII</w:t>
            </w:r>
          </w:p>
        </w:tc>
      </w:tr>
      <w:tr>
        <w:tc>
          <w:tcPr>
            <w:tcBorders>
              <w:top w:val="single" w:color="9AA6B2" w:sz="1"/>
              <w:left w:val="none"/>
              <w:bottom w:val="single" w:color="9AA6B2" w:sz="1"/>
              <w:right w:val="none"/>
            </w:tcBorders>
            <w:shd w:fill="ECFDF5" w:val="clear"/>
            <w:vAlign w:val="center"/>
          </w:tcPr>
          <w:p>
            <w:r>
              <w:rPr>
                <w:b/>
                <w:bCs/>
                <w:color w:val="166534"/>
                <w:sz w:val="20"/>
                <w:szCs w:val="20"/>
              </w:rPr>
              <w:t xml:space="preserve">Inveja</w:t>
            </w:r>
          </w:p>
        </w:tc>
        <w:tc>
          <w:tcPr>
            <w:tcBorders>
              <w:top w:val="single" w:color="9AA6B2" w:sz="1"/>
              <w:left w:val="none"/>
              <w:bottom w:val="single" w:color="9AA6B2" w:sz="1"/>
              <w:right w:val="none"/>
            </w:tcBorders>
          </w:tcPr>
          <w:p>
            <w:r>
              <w:rPr>
                <w:sz w:val="20"/>
                <w:szCs w:val="20"/>
              </w:rPr>
              <w:t xml:space="preserve">Resentir o bem alheio. O veneno que corrói por aquilo que não se é.</w:t>
            </w:r>
          </w:p>
        </w:tc>
        <w:tc>
          <w:tcPr>
            <w:tcBorders>
              <w:top w:val="single" w:color="9AA6B2" w:sz="1"/>
              <w:left w:val="none"/>
              <w:bottom w:val="single" w:color="9AA6B2" w:sz="1"/>
              <w:right w:val="none"/>
            </w:tcBorders>
          </w:tcPr>
          <w:p>
            <w:r>
              <w:rPr>
                <w:sz w:val="20"/>
                <w:szCs w:val="20"/>
              </w:rPr>
              <w:t xml:space="preserve">III, IX, XII</w:t>
            </w:r>
          </w:p>
        </w:tc>
      </w:tr>
      <w:tr>
        <w:tc>
          <w:tcPr>
            <w:tcBorders>
              <w:top w:val="single" w:color="9AA6B2" w:sz="1"/>
              <w:left w:val="none"/>
              <w:bottom w:val="single" w:color="9AA6B2" w:sz="1"/>
              <w:right w:val="none"/>
            </w:tcBorders>
            <w:shd w:fill="E0E7FF" w:val="clear"/>
            <w:vAlign w:val="center"/>
          </w:tcPr>
          <w:p>
            <w:r>
              <w:rPr>
                <w:b/>
                <w:bCs/>
                <w:color w:val="3730A3"/>
                <w:sz w:val="20"/>
                <w:szCs w:val="20"/>
              </w:rPr>
              <w:t xml:space="preserve">Preguiça</w:t>
            </w:r>
          </w:p>
        </w:tc>
        <w:tc>
          <w:tcPr>
            <w:tcBorders>
              <w:top w:val="single" w:color="9AA6B2" w:sz="1"/>
              <w:left w:val="none"/>
              <w:bottom w:val="single" w:color="9AA6B2" w:sz="1"/>
              <w:right w:val="none"/>
            </w:tcBorders>
          </w:tcPr>
          <w:p>
            <w:r>
              <w:rPr>
                <w:sz w:val="20"/>
                <w:szCs w:val="20"/>
              </w:rPr>
              <w:t xml:space="preserve">Recusar a responsabilidade de existir. A omissão que se disfarça de descanso.</w:t>
            </w:r>
          </w:p>
        </w:tc>
        <w:tc>
          <w:tcPr>
            <w:tcBorders>
              <w:top w:val="single" w:color="9AA6B2" w:sz="1"/>
              <w:left w:val="none"/>
              <w:bottom w:val="single" w:color="9AA6B2" w:sz="1"/>
              <w:right w:val="none"/>
            </w:tcBorders>
          </w:tcPr>
          <w:p>
            <w:r>
              <w:rPr>
                <w:sz w:val="20"/>
                <w:szCs w:val="20"/>
              </w:rPr>
              <w:t xml:space="preserve">V, VI</w:t>
            </w:r>
          </w:p>
        </w:tc>
      </w:tr>
    </w:tbl>
    <w:p>
      <w:pPr>
        <w:spacing w:before="100"/>
        <w:jc w:val="center"/>
      </w:pPr>
      <w:r>
        <w:rPr>
          <w:i/>
          <w:iCs/>
          <w:color w:val="9AA6B2"/>
          <w:sz w:val="18"/>
          <w:szCs w:val="18"/>
        </w:rPr>
        <w:t xml:space="preserve">Tabela 5: As Sete Corrupções da Alma</w:t>
      </w:r>
    </w:p>
    <w:p>
      <w:pPr>
        <w:pStyle w:val="Heading2"/>
      </w:pPr>
      <w:r>
        <w:t xml:space="preserve">O Julgamento Final</w:t>
      </w:r>
    </w:p>
    <w:p>
      <w:pPr>
        <w:spacing w:after="200"/>
      </w:pPr>
      <w:r>
        <w:t xml:space="preserve">No momento da morte, cada alma é avaliada de acordo com as Doze Leis da Pureza. O julgamento não é um tribunal externo, mas uma revelação interna — a alma confronta sua própria verdade, seus desejos mais profundos, seus impactos reais, suas contradições, seus sacrifícios, suas responsabilidades, seu crescimento, e suas conexões. Este processo é inevitável e impossível de enganar, pois a alma não pode mentir para si mesma quando confrontada com a verdade absoluta.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Borders>
              <w:top w:val="single" w:color="9AA6B2" w:sz="1"/>
              <w:left w:val="none"/>
              <w:bottom w:val="single" w:color="9AA6B2" w:sz="1"/>
              <w:right w:val="none"/>
            </w:tcBorders>
            <w:shd w:fill="F1F5F9" w:val="clear"/>
            <w:vAlign w:val="center"/>
          </w:tcPr>
          <w:p>
            <w:pPr>
              <w:jc w:val="center"/>
            </w:pPr>
            <w:r>
              <w:rPr>
                <w:b/>
                <w:bCs/>
                <w:sz w:val="20"/>
                <w:szCs w:val="20"/>
              </w:rPr>
              <w:t xml:space="preserve">Resultado</w:t>
            </w:r>
          </w:p>
        </w:tc>
        <w:tc>
          <w:tcPr>
            <w:tcBorders>
              <w:top w:val="single" w:color="9AA6B2" w:sz="1"/>
              <w:left w:val="none"/>
              <w:bottom w:val="single" w:color="9AA6B2" w:sz="1"/>
              <w:right w:val="none"/>
            </w:tcBorders>
            <w:shd w:fill="F1F5F9" w:val="clear"/>
            <w:vAlign w:val="center"/>
          </w:tcPr>
          <w:p>
            <w:pPr>
              <w:jc w:val="center"/>
            </w:pPr>
            <w:r>
              <w:rPr>
                <w:b/>
                <w:bCs/>
                <w:sz w:val="20"/>
                <w:szCs w:val="20"/>
              </w:rPr>
              <w:t xml:space="preserve">Destino da Alma</w:t>
            </w:r>
          </w:p>
        </w:tc>
      </w:tr>
      <w:tr>
        <w:tc>
          <w:tcPr>
            <w:tcBorders>
              <w:top w:val="single" w:color="9AA6B2" w:sz="1"/>
              <w:left w:val="none"/>
              <w:bottom w:val="single" w:color="9AA6B2" w:sz="1"/>
              <w:right w:val="none"/>
            </w:tcBorders>
            <w:shd w:fill="D1FAE5" w:val="clear"/>
            <w:vAlign w:val="center"/>
          </w:tcPr>
          <w:p>
            <w:pPr>
              <w:jc w:val="center"/>
            </w:pPr>
            <w:r>
              <w:rPr>
                <w:b/>
                <w:bCs/>
                <w:color w:val="065F46"/>
                <w:sz w:val="20"/>
                <w:szCs w:val="20"/>
              </w:rPr>
              <w:t xml:space="preserve">PURO</w:t>
            </w:r>
          </w:p>
        </w:tc>
        <w:tc>
          <w:tcPr>
            <w:tcBorders>
              <w:top w:val="single" w:color="9AA6B2" w:sz="1"/>
              <w:left w:val="none"/>
              <w:bottom w:val="single" w:color="9AA6B2" w:sz="1"/>
              <w:right w:val="none"/>
            </w:tcBorders>
          </w:tcPr>
          <w:p>
            <w:r>
              <w:rPr>
                <w:sz w:val="20"/>
                <w:szCs w:val="20"/>
              </w:rPr>
              <w:t xml:space="preserve">Transcendência — A consciência funde-se com a estrutura do universo, tornando-se imortal. Preserva sua identidade enquanto expande para abraçar o todo.</w:t>
            </w:r>
          </w:p>
        </w:tc>
      </w:tr>
      <w:tr>
        <w:tc>
          <w:tcPr>
            <w:tcBorders>
              <w:top w:val="single" w:color="9AA6B2" w:sz="1"/>
              <w:left w:val="none"/>
              <w:bottom w:val="single" w:color="9AA6B2" w:sz="1"/>
              <w:right w:val="none"/>
            </w:tcBorders>
            <w:shd w:fill="FEF3C7" w:val="clear"/>
            <w:vAlign w:val="center"/>
          </w:tcPr>
          <w:p>
            <w:pPr>
              <w:jc w:val="center"/>
            </w:pPr>
            <w:r>
              <w:rPr>
                <w:b/>
                <w:bCs/>
                <w:color w:val="92400E"/>
                <w:sz w:val="20"/>
                <w:szCs w:val="20"/>
              </w:rPr>
              <w:t xml:space="preserve">MISTO</w:t>
            </w:r>
          </w:p>
        </w:tc>
        <w:tc>
          <w:tcPr>
            <w:tcBorders>
              <w:top w:val="single" w:color="9AA6B2" w:sz="1"/>
              <w:left w:val="none"/>
              <w:bottom w:val="single" w:color="9AA6B2" w:sz="1"/>
              <w:right w:val="none"/>
            </w:tcBorders>
          </w:tcPr>
          <w:p>
            <w:r>
              <w:rPr>
                <w:sz w:val="20"/>
                <w:szCs w:val="20"/>
              </w:rPr>
              <w:t xml:space="preserve">Julgamento Parcial — Alguns aspectos podem transcender enquanto outros são devolvidos ao Vazio. A extensão da transcendência depende do grau de pureza.</w:t>
            </w:r>
          </w:p>
        </w:tc>
      </w:tr>
      <w:tr>
        <w:tc>
          <w:tcPr>
            <w:tcBorders>
              <w:top w:val="single" w:color="9AA6B2" w:sz="1"/>
              <w:left w:val="none"/>
              <w:bottom w:val="single" w:color="9AA6B2" w:sz="1"/>
              <w:right w:val="none"/>
            </w:tcBorders>
            <w:shd w:fill="FEE2E2" w:val="clear"/>
            <w:vAlign w:val="center"/>
          </w:tcPr>
          <w:p>
            <w:pPr>
              <w:jc w:val="center"/>
            </w:pPr>
            <w:r>
              <w:rPr>
                <w:b/>
                <w:bCs/>
                <w:color w:val="991B1B"/>
                <w:sz w:val="20"/>
                <w:szCs w:val="20"/>
              </w:rPr>
              <w:t xml:space="preserve">CORROMPIDO</w:t>
            </w:r>
          </w:p>
        </w:tc>
        <w:tc>
          <w:tcPr>
            <w:tcBorders>
              <w:top w:val="single" w:color="9AA6B2" w:sz="1"/>
              <w:left w:val="none"/>
              <w:bottom w:val="single" w:color="9AA6B2" w:sz="1"/>
              <w:right w:val="none"/>
            </w:tcBorders>
          </w:tcPr>
          <w:p>
            <w:r>
              <w:rPr>
                <w:sz w:val="20"/>
                <w:szCs w:val="20"/>
              </w:rPr>
              <w:t xml:space="preserve">Dissolução — A essência é devolvida ao Vazio Primordial, onde dissolve-se em potencial puro. Não há sofrimento, mas também não há continuidade de consciência.</w:t>
            </w:r>
          </w:p>
        </w:tc>
      </w:tr>
      <w:tr>
        <w:tc>
          <w:tcPr>
            <w:tcBorders>
              <w:top w:val="single" w:color="9AA6B2" w:sz="1"/>
              <w:left w:val="none"/>
              <w:bottom w:val="single" w:color="9AA6B2" w:sz="1"/>
              <w:right w:val="none"/>
            </w:tcBorders>
            <w:shd w:fill="E9D5FF" w:val="clear"/>
            <w:vAlign w:val="center"/>
          </w:tcPr>
          <w:p>
            <w:pPr>
              <w:jc w:val="center"/>
            </w:pPr>
            <w:r>
              <w:rPr>
                <w:b/>
                <w:bCs/>
                <w:color w:val="6B21A8"/>
                <w:sz w:val="20"/>
                <w:szCs w:val="20"/>
              </w:rPr>
              <w:t xml:space="preserve">PRIMORDIAL CORRUPTO</w:t>
            </w:r>
          </w:p>
        </w:tc>
        <w:tc>
          <w:tcPr>
            <w:tcBorders>
              <w:top w:val="single" w:color="9AA6B2" w:sz="1"/>
              <w:left w:val="none"/>
              <w:bottom w:val="single" w:color="9AA6B2" w:sz="1"/>
              <w:right w:val="none"/>
            </w:tcBorders>
          </w:tcPr>
          <w:p>
            <w:r>
              <w:rPr>
                <w:sz w:val="20"/>
                <w:szCs w:val="20"/>
              </w:rPr>
              <w:t xml:space="preserve">Rejeição Dupla — O Vazio rejeita sua corrupção, e o universo não pode absorvê-los. Presos entre existência e não-existência. Este é o destino dos Nihilaryth.</w:t>
            </w:r>
          </w:p>
        </w:tc>
      </w:tr>
    </w:tbl>
    <w:p>
      <w:pPr>
        <w:spacing w:before="100"/>
        <w:jc w:val="center"/>
      </w:pPr>
      <w:r>
        <w:rPr>
          <w:i/>
          <w:iCs/>
          <w:color w:val="9AA6B2"/>
          <w:sz w:val="18"/>
          <w:szCs w:val="18"/>
        </w:rPr>
        <w:t xml:space="preserve">Tabela 6: Resultados do Julgamento pela Pureza</w:t>
      </w:r>
    </w:p>
    <w:p>
      <w:pPr>
        <w:spacing w:before="600"/>
        <w:jc w:val="center"/>
      </w:pPr>
      <w:r>
        <w:rPr>
          <w:color w:val="9AA6B2"/>
        </w:rPr>
        <w:t xml:space="preserve">━━━━━━━━━━━━━━━━━━━━━━━━━━━━━━</w:t>
      </w:r>
    </w:p>
    <w:p>
      <w:pPr>
        <w:pStyle w:val="Quote"/>
      </w:pPr>
      <w:r>
        <w:t xml:space="preserve">"Conhecer o nome é o primeiro passo para conhecer a essência."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2"/>
      </w:rPr>
      <w:t xml:space="preserve">— </w:t>
    </w:r>
    <w:r>
      <w:rPr>
        <w:color w:val="9AA6B2"/>
      </w:rPr>
      <w:fldChar w:fldCharType="begin"/>
      <w:instrText xml:space="preserve">PAGE</w:instrText>
      <w:fldChar w:fldCharType="separate"/>
      <w:fldChar w:fldCharType="end"/>
    </w:r>
    <w:r>
      <w:rPr>
        <w:color w:val="9AA6B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AA6B2"/>
        <w:sz w:val="20"/>
        <w:szCs w:val="20"/>
      </w:rPr>
      <w:t xml:space="preserve">ALYNDRA — Glossário Oficial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B1220"/>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2B2B2B"/>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F172A"/>
      <w:sz w:val="24"/>
      <w:szCs w:val="24"/>
    </w:rPr>
  </w:style>
  <w:style w:type="paragraph" w:styleId="Quote">
    <w:name w:val="Quote"/>
    <w:basedOn w:val="Normal"/>
    <w:pPr>
      <w:spacing w:after="200" w:before="200"/>
      <w:jc w:val="center"/>
    </w:pPr>
    <w:rPr>
      <w:i/>
      <w:iCs/>
      <w:color w:val="2B2B2B"/>
      <w:sz w:val="22"/>
      <w:szCs w:val="22"/>
    </w:rPr>
  </w:style>
  <w:style w:type="paragraph" w:styleId="LawQuote">
    <w:name w:val="LawQuote"/>
    <w:basedOn w:val="Normal"/>
    <w:pPr>
      <w:spacing w:after="150" w:before="100"/>
    </w:pPr>
    <w:rPr>
      <w:i/>
      <w:iCs/>
      <w:color w:val="2B2B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2026-03-26T00:03:10.368Z</dcterms:created>
  <dcterms:modified xsi:type="dcterms:W3CDTF">2026-03-26T00:03:10.368Z</dcterms:modified>
</cp:coreProperties>
</file>

<file path=docProps/custom.xml><?xml version="1.0" encoding="utf-8"?>
<Properties xmlns="http://schemas.openxmlformats.org/officeDocument/2006/custom-properties" xmlns:vt="http://schemas.openxmlformats.org/officeDocument/2006/docPropsVTypes"/>
</file>