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jc w:val="center"/>
      </w:pPr>
      <w:r>
        <w:rPr>
          <w:rFonts w:ascii="Times New Roman" w:cs="Times New Roman" w:eastAsia="Times New Roman" w:hAnsi="Times New Roman"/>
          <w:b/>
          <w:bCs/>
          <w:color w:val="0B1220"/>
          <w:sz w:val="72"/>
          <w:szCs w:val="72"/>
        </w:rPr>
        <w:t xml:space="preserve">UNIVERSO DE ALYNDRAS</w:t>
      </w:r>
    </w:p>
    <w:p>
      <w:pPr>
        <w:spacing w:before="300"/>
      </w:pPr>
    </w:p>
    <w:p>
      <w:pPr>
        <w:jc w:val="center"/>
      </w:pPr>
      <w:r>
        <w:rPr>
          <w:rFonts w:ascii="Times New Roman" w:cs="Times New Roman" w:eastAsia="Times New Roman" w:hAnsi="Times New Roman"/>
          <w:b/>
          <w:bCs/>
          <w:color w:val="2B2B2B"/>
          <w:sz w:val="48"/>
          <w:szCs w:val="48"/>
        </w:rPr>
        <w:t xml:space="preserve">SISTEMAS DE MENSURAÇÃO</w:t>
      </w:r>
    </w:p>
    <w:p>
      <w:pPr>
        <w:spacing w:before="200"/>
      </w:pPr>
    </w:p>
    <w:p>
      <w:pPr>
        <w:jc w:val="center"/>
      </w:pPr>
      <w:r>
        <w:rPr>
          <w:rFonts w:ascii="Times New Roman" w:cs="Times New Roman" w:eastAsia="Times New Roman" w:hAnsi="Times New Roman"/>
          <w:i/>
          <w:iCs/>
          <w:color w:val="9AA6B2"/>
          <w:sz w:val="32"/>
          <w:szCs w:val="32"/>
        </w:rPr>
        <w:t xml:space="preserve">Cronologia, Medidas e Economia</w:t>
      </w:r>
    </w:p>
    <w:p>
      <w:pPr>
        <w:spacing w:before="3500"/>
      </w:pPr>
    </w:p>
    <w:p>
      <w:pPr>
        <w:jc w:val="center"/>
      </w:pPr>
      <w:r>
        <w:rPr>
          <w:rFonts w:ascii="Times New Roman" w:cs="Times New Roman" w:eastAsia="Times New Roman" w:hAnsi="Times New Roman"/>
          <w:color w:val="0F172A"/>
          <w:sz w:val="24"/>
          <w:szCs w:val="24"/>
        </w:rPr>
        <w:t xml:space="preserve">Sistema Temporal • Unidades de Medida • Sistema Monetário</w:t>
      </w:r>
    </w:p>
    <w:p>
      <w:pPr>
        <w:spacing w:before="100"/>
        <w:jc w:val="center"/>
      </w:pPr>
      <w:r>
        <w:rPr>
          <w:rFonts w:ascii="Times New Roman" w:cs="Times New Roman" w:eastAsia="Times New Roman" w:hAnsi="Times New Roman"/>
          <w:i/>
          <w:iCs/>
          <w:color w:val="9AA6B2"/>
          <w:sz w:val="22"/>
          <w:szCs w:val="22"/>
        </w:rPr>
        <w:t xml:space="preserve">Fundamentos para Coerência Narrativa</w:t>
      </w:r>
    </w:p>
    <w:p>
      <w:r>
        <w:br w:type="page"/>
      </w:r>
    </w:p>
    <w:p>
      <w:pPr>
        <w:sectPr>
          <w:pgSz w:w="11906" w:h="16838" w:orient="portrait"/>
          <w:pgMar w:top="0" w:right="0" w:bottom="0" w:left="0" w:header="708" w:footer="708" w:gutter="0"/>
          <w:pgNumType/>
          <w:docGrid w:linePitch="360"/>
        </w:sectPr>
      </w:pPr>
    </w:p>
    <w:p>
      <w:pPr>
        <w:pStyle w:val="Heading1"/>
      </w:pPr>
      <w:r>
        <w:t xml:space="preserve">1. Introdução aos Sistemas</w:t>
      </w:r>
    </w:p>
    <w:p>
      <w:pPr>
        <w:spacing w:after="120" w:before="0" w:line="312"/>
        <w:ind w:firstLine="480"/>
        <w:jc w:val="both"/>
      </w:pPr>
      <w:r>
        <w:rPr>
          <w:rFonts w:ascii="Times New Roman" w:cs="Times New Roman" w:eastAsia="Times New Roman" w:hAnsi="Times New Roman"/>
          <w:sz w:val="22"/>
          <w:szCs w:val="22"/>
        </w:rPr>
        <w:t xml:space="preserve">Uma civilização avançada como Aetherion, capaz de harnessar a energia de estrelas e manipular Aethra em escala planetária, desenvolveria sistemas de mensuração baseados em fenômenos universais e constantes físicas, não em referências arbitrárias como a rotação de um planeta específico. Este documento estabelece os sistemas oficiais utilizados em Aetherion e, posteriormente, adaptados pelas civilizações descendentes.</w:t>
      </w:r>
    </w:p>
    <w:p>
      <w:pPr>
        <w:spacing w:after="120" w:before="0" w:line="312"/>
        <w:ind w:firstLine="480"/>
        <w:jc w:val="both"/>
      </w:pPr>
      <w:r>
        <w:rPr>
          <w:rFonts w:ascii="Times New Roman" w:cs="Times New Roman" w:eastAsia="Times New Roman" w:hAnsi="Times New Roman"/>
          <w:sz w:val="22"/>
          <w:szCs w:val="22"/>
        </w:rPr>
        <w:t xml:space="preserve">Para o público, equivalências aproximadas são fornecidas através de contexto narrativo, permitindo compreensão sem quebrar a imersão. Um personagem pode comentar que 'um thera é aproximadamente o tempo que leva para uma chápix de água ferver em temperatura ambiente', dando referência prática sem usar unidades terrestres.</w:t>
      </w:r>
    </w:p>
    <w:p>
      <w:pPr>
        <w:pStyle w:val="Heading1"/>
      </w:pPr>
      <w:r>
        <w:t xml:space="preserve">2. Sistema Temporal Aetheriano</w:t>
      </w:r>
    </w:p>
    <w:p>
      <w:pPr>
        <w:pStyle w:val="Heading2"/>
      </w:pPr>
      <w:r>
        <w:t xml:space="preserve">2.1 Fundamento Científico</w:t>
      </w:r>
    </w:p>
    <w:p>
      <w:pPr>
        <w:spacing w:after="120" w:before="0" w:line="312"/>
        <w:ind w:firstLine="480"/>
        <w:jc w:val="both"/>
      </w:pPr>
      <w:r>
        <w:rPr>
          <w:rFonts w:ascii="Times New Roman" w:cs="Times New Roman" w:eastAsia="Times New Roman" w:hAnsi="Times New Roman"/>
          <w:sz w:val="22"/>
          <w:szCs w:val="22"/>
        </w:rPr>
        <w:t xml:space="preserve">Os Aetherions basearam seu sistema temporal em dois fenômenos universais constantes: a vibração fundamental da Árvore da Existência e a frequência de ressonância do Aethra puro. Diferente de sistemas baseados em rotação planetária (que variam de mundo para mundo), estes fenômenos são consistentes em todo o universo, permitindo comunicação precisa entre colônias em diferentes sistemas estelares.</w:t>
      </w:r>
    </w:p>
    <w:p>
      <w:pPr>
        <w:pStyle w:val="Heading2"/>
      </w:pPr>
      <w:r>
        <w:t xml:space="preserve">2.2 Unidades de Tempo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200"/>
        <w:gridCol w:w="2600"/>
        <w:gridCol w:w="27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2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Definição</w:t>
            </w:r>
          </w:p>
        </w:tc>
        <w:tc>
          <w:tcPr>
            <w:tcW w:type="dxa" w:w="26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Narrativa</w:t>
            </w:r>
          </w:p>
        </w:tc>
        <w:tc>
          <w:tcPr>
            <w:tcW w:type="dxa" w:w="27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Terra</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PULSAR</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Menor unidade mensurável</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piscar de olhos</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~0.1 segundos</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THERA</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pulsares</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suspiro profundo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 segundos</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CYON</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60 thera</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Tempo de uma refeição leve</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 minutos</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VARYM</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6 cyon</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sessão de treinamento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hora</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LUMEN</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24 varym</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período de vigília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dia</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SEKTRA</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30 lumen</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ciclo lunar completo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mês</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AETHER</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12 sektra</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estação completa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ano</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CYCLUS</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aether</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vida mortal longa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século</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MILLENNIUM</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aether</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era histórica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milênio</w:t>
            </w:r>
          </w:p>
        </w:tc>
      </w:tr>
      <w:tr>
        <w:tc>
          <w:tcPr>
            <w:tcW w:type="dxa" w:w="1800"/>
            <w:tcBorders>
              <w:top w:val="single" w:color="9AA6B2" w:sz="1"/>
              <w:left w:val="single" w:color="9AA6B2" w:sz="1"/>
              <w:bottom w:val="single" w:color="9AA6B2" w:sz="1"/>
              <w:right w:val="single" w:color="9AA6B2" w:sz="1"/>
            </w:tcBorders>
            <w:shd w:fill="E8F5E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AION</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1.000.000 aether</w:t>
            </w:r>
          </w:p>
        </w:tc>
        <w:tc>
          <w:tcPr>
            <w:tcW w:type="dxa" w:w="2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Tempo além da compreensão mortal</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milhão de anos</w:t>
            </w:r>
          </w:p>
        </w:tc>
      </w:tr>
    </w:tbl>
    <w:p>
      <w:pPr>
        <w:spacing w:before="200"/>
      </w:pPr>
    </w:p>
    <w:p>
      <w:pPr>
        <w:pStyle w:val="Heading2"/>
      </w:pPr>
      <w:r>
        <w:t xml:space="preserve">2.3 Calendário Aetheriano</w:t>
      </w:r>
    </w:p>
    <w:p>
      <w:pPr>
        <w:spacing w:after="120" w:before="0" w:line="312"/>
        <w:ind w:firstLine="480"/>
        <w:jc w:val="both"/>
      </w:pPr>
      <w:r>
        <w:rPr>
          <w:rFonts w:ascii="Times New Roman" w:cs="Times New Roman" w:eastAsia="Times New Roman" w:hAnsi="Times New Roman"/>
          <w:sz w:val="22"/>
          <w:szCs w:val="22"/>
        </w:rPr>
        <w:t xml:space="preserve">O calendário oficial de Aetherion não contava anos a partir de um ponto arbitrário, mas marcava Eras baseadas em eventos significativos da civilização. Cada Era tinha um nome descritivo em vez de número, permitindo que qualquer cidadão compreendesse o contexto histórico de uma data.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120"/>
        <w:gridCol w:w="390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Era</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Duração</w:t>
            </w:r>
          </w:p>
        </w:tc>
        <w:tc>
          <w:tcPr>
            <w:tcW w:type="dxa" w:w="39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Evento Marcante</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DO DESPERTAR</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~50.000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Formação inicial da civilização Aetherion</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DA ASCENSÃO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~200.000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Dominio de energia estelar e tecnologia de Aethra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DA EXPANSÃO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~150.000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Colonização de sistemas estelares múltiplos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DAS IRMÃS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~50.000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Nascimento de Alyndra e Yggorath</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DO FRUTO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~5.000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Alyndra consome o Fruto da Existência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ERA DO ABISMO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~500 aether</w:t>
            </w:r>
          </w:p>
        </w:tc>
        <w:tc>
          <w:tcPr>
            <w:tcW w:type="dxa" w:w="39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Abertura do Portal e queda de Aetherion</w:t>
            </w:r>
          </w:p>
        </w:tc>
      </w:tr>
    </w:tbl>
    <w:p>
      <w:pPr>
        <w:spacing w:before="200"/>
      </w:pPr>
    </w:p>
    <w:p>
      <w:pPr>
        <w:pStyle w:val="Heading2"/>
      </w:pPr>
      <w:r>
        <w:t xml:space="preserve">2.4 Sistema Pós-Queda</w:t>
      </w:r>
    </w:p>
    <w:p>
      <w:pPr>
        <w:spacing w:after="120" w:before="0" w:line="312"/>
        <w:ind w:firstLine="480"/>
        <w:jc w:val="both"/>
      </w:pPr>
      <w:r>
        <w:rPr>
          <w:rFonts w:ascii="Times New Roman" w:cs="Times New Roman" w:eastAsia="Times New Roman" w:hAnsi="Times New Roman"/>
          <w:sz w:val="22"/>
          <w:szCs w:val="22"/>
        </w:rPr>
        <w:t xml:space="preserve">Após a queda de Aetherion, as civilizações descendentes adaptaram o sistema temporal para suas realidades. O planeta Aetherion (novo mundo colonizado) manteve as unidades básicas, mas o calendário foi reestruturado em torno do Selamento de Ilios e Nyxalor:</w:t>
      </w:r>
    </w:p>
    <w:p>
      <w:pPr>
        <w:pStyle w:val="ListParagraph"/>
        <w:numPr>
          <w:ilvl w:val="0"/>
          <w:numId w:val="2"/>
        </w:numPr>
        <w:spacing w:line="312"/>
      </w:pPr>
      <w:r>
        <w:rPr>
          <w:rFonts w:ascii="Times New Roman" w:cs="Times New Roman" w:eastAsia="Times New Roman" w:hAnsi="Times New Roman"/>
          <w:sz w:val="22"/>
          <w:szCs w:val="22"/>
        </w:rPr>
        <w:t xml:space="preserve">Antes do Selamento (A.S.) - Período desde a chegada ao novo planeta até o Grande Selamento</w:t>
      </w:r>
    </w:p>
    <w:p>
      <w:pPr>
        <w:pStyle w:val="ListParagraph"/>
        <w:numPr>
          <w:ilvl w:val="0"/>
          <w:numId w:val="2"/>
        </w:numPr>
        <w:spacing w:line="312"/>
      </w:pPr>
      <w:r>
        <w:rPr>
          <w:rFonts w:ascii="Times New Roman" w:cs="Times New Roman" w:eastAsia="Times New Roman" w:hAnsi="Times New Roman"/>
          <w:sz w:val="22"/>
          <w:szCs w:val="22"/>
        </w:rPr>
        <w:t xml:space="preserve">Depois do Selamento (D.S.) - Período atual, iniciando com o selamento de Ilios e Nyxalor</w:t>
      </w:r>
    </w:p>
    <w:p>
      <w:pPr>
        <w:spacing w:after="120" w:before="0" w:line="312"/>
        <w:ind w:firstLine="480"/>
        <w:jc w:val="both"/>
      </w:pPr>
      <w:r>
        <w:rPr>
          <w:rFonts w:ascii="Times New Roman" w:cs="Times New Roman" w:eastAsia="Times New Roman" w:hAnsi="Times New Roman"/>
          <w:sz w:val="22"/>
          <w:szCs w:val="22"/>
        </w:rPr>
        <w:t xml:space="preserve">Na Era de Grazielly, a data atual seria aproximadamente 2.000 D.S. (Dois Mil Aethers Depois do Selamento).</w:t>
      </w:r>
    </w:p>
    <w:p>
      <w:pPr>
        <w:pStyle w:val="Heading2"/>
      </w:pPr>
      <w:r>
        <w:t xml:space="preserve">2.5 Exemplos de Uso Narrativo</w:t>
      </w:r>
    </w:p>
    <w:p>
      <w:pPr>
        <w:spacing w:after="120" w:before="0" w:line="312"/>
        <w:ind w:firstLine="480"/>
        <w:jc w:val="both"/>
      </w:pPr>
      <w:r>
        <w:rPr>
          <w:rFonts w:ascii="Times New Roman" w:cs="Times New Roman" w:eastAsia="Times New Roman" w:hAnsi="Times New Roman"/>
          <w:sz w:val="22"/>
          <w:szCs w:val="22"/>
        </w:rPr>
        <w:t xml:space="preserve">O narrador pode situar o público sem quebrar imersão usando comparações naturais:</w:t>
      </w:r>
    </w:p>
    <w:p>
      <w:pPr>
        <w:pStyle w:val="ListParagraph"/>
        <w:numPr>
          <w:ilvl w:val="0"/>
          <w:numId w:val="2"/>
        </w:numPr>
        <w:spacing w:line="312"/>
      </w:pPr>
      <w:r>
        <w:rPr>
          <w:rFonts w:ascii="Times New Roman" w:cs="Times New Roman" w:eastAsia="Times New Roman" w:hAnsi="Times New Roman"/>
          <w:sz w:val="22"/>
          <w:szCs w:val="22"/>
        </w:rPr>
        <w:t xml:space="preserve">"Yggorath esperou três thera - tempo suficiente para uma xícara de chá esfriar." (≈30 segundos)</w:t>
      </w:r>
    </w:p>
    <w:p>
      <w:pPr>
        <w:pStyle w:val="ListParagraph"/>
        <w:numPr>
          <w:ilvl w:val="0"/>
          <w:numId w:val="2"/>
        </w:numPr>
        <w:spacing w:line="312"/>
      </w:pPr>
      <w:r>
        <w:rPr>
          <w:rFonts w:ascii="Times New Roman" w:cs="Times New Roman" w:eastAsia="Times New Roman" w:hAnsi="Times New Roman"/>
          <w:sz w:val="22"/>
          <w:szCs w:val="22"/>
        </w:rPr>
        <w:t xml:space="preserve">"A batalha durou seis varym - seis sessões de treinamento completas de exaustão." (≈6 horas)</w:t>
      </w:r>
    </w:p>
    <w:p>
      <w:pPr>
        <w:pStyle w:val="ListParagraph"/>
        <w:numPr>
          <w:ilvl w:val="0"/>
          <w:numId w:val="2"/>
        </w:numPr>
        <w:spacing w:line="312"/>
      </w:pPr>
      <w:r>
        <w:rPr>
          <w:rFonts w:ascii="Times New Roman" w:cs="Times New Roman" w:eastAsia="Times New Roman" w:hAnsi="Times New Roman"/>
          <w:sz w:val="22"/>
          <w:szCs w:val="22"/>
        </w:rPr>
        <w:t xml:space="preserve">"Não víamos Alyndra há três sektra - três ciclos de lua cheia." (≈3 meses)</w:t>
      </w:r>
    </w:p>
    <w:p>
      <w:pPr>
        <w:pStyle w:val="ListParagraph"/>
        <w:numPr>
          <w:ilvl w:val="0"/>
          <w:numId w:val="2"/>
        </w:numPr>
        <w:spacing w:line="312"/>
      </w:pPr>
      <w:r>
        <w:rPr>
          <w:rFonts w:ascii="Times New Roman" w:cs="Times New Roman" w:eastAsia="Times New Roman" w:hAnsi="Times New Roman"/>
          <w:sz w:val="22"/>
          <w:szCs w:val="22"/>
        </w:rPr>
        <w:t xml:space="preserve">"A civilização durou quinhentos cyclus - quinhentas vidas mortais completas." (≈50.000 anos)</w:t>
      </w:r>
    </w:p>
    <w:p>
      <w:pPr>
        <w:pStyle w:val="Heading1"/>
      </w:pPr>
      <w:r>
        <w:t xml:space="preserve">3. Sistema de Medidas Aetheriano</w:t>
      </w:r>
    </w:p>
    <w:p>
      <w:pPr>
        <w:pStyle w:val="Heading2"/>
      </w:pPr>
      <w:r>
        <w:t xml:space="preserve">3.1 Fundamento Científico</w:t>
      </w:r>
    </w:p>
    <w:p>
      <w:pPr>
        <w:spacing w:after="120" w:before="0" w:line="312"/>
        <w:ind w:firstLine="480"/>
        <w:jc w:val="both"/>
      </w:pPr>
      <w:r>
        <w:rPr>
          <w:rFonts w:ascii="Times New Roman" w:cs="Times New Roman" w:eastAsia="Times New Roman" w:hAnsi="Times New Roman"/>
          <w:sz w:val="22"/>
          <w:szCs w:val="22"/>
        </w:rPr>
        <w:t xml:space="preserve">As unidades de medida de Aetherion derivam de constantes físicas universais e propriedades do Aethra. A unidade base de comprimento, por exemplo, é definida pela distância que Aethra puro percorre em um pulsar através de vácuo perfeito - uma constante universal independente de gravidade ou atmosfera.</w:t>
      </w:r>
    </w:p>
    <w:p>
      <w:pPr>
        <w:pStyle w:val="Heading2"/>
      </w:pPr>
      <w:r>
        <w:t xml:space="preserve">3.2 Medidas de Comprimento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400"/>
        <w:gridCol w:w="2800"/>
        <w:gridCol w:w="23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Definição</w:t>
            </w:r>
          </w:p>
        </w:tc>
        <w:tc>
          <w:tcPr>
            <w:tcW w:type="dxa" w:w="2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Referência Narrativa</w:t>
            </w:r>
          </w:p>
        </w:tc>
        <w:tc>
          <w:tcPr>
            <w:tcW w:type="dxa" w:w="23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Terra</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SPAERA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Menor unidade mensurável</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Espessura de um fio de cabelo</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milímetro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PESAR</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spaera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Largura de uma mão aberta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 centímetros</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STRIA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 pesar</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passo largo</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metro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KRYON</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stria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Caminhada de um quarto de lumen</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quilômetro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VASTIS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kryo</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Distância entre cidades vizinhas</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 km</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ASTRA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1.000.000 kryo</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Distância impossível de caminhar</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milhão km</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LUMINIS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Distância luz em um varym</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Distância entre estrelas próximas</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ano-luz</w:t>
            </w:r>
          </w:p>
        </w:tc>
      </w:tr>
    </w:tbl>
    <w:p>
      <w:pPr>
        <w:spacing w:before="200"/>
      </w:pPr>
    </w:p>
    <w:p>
      <w:pPr>
        <w:pStyle w:val="Heading2"/>
      </w:pPr>
      <w:r>
        <w:t xml:space="preserve">3.3 Medidas de Peso/Massa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400"/>
        <w:gridCol w:w="2800"/>
        <w:gridCol w:w="23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Definição</w:t>
            </w:r>
          </w:p>
        </w:tc>
        <w:tc>
          <w:tcPr>
            <w:tcW w:type="dxa" w:w="2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Referência Narrativa</w:t>
            </w:r>
          </w:p>
        </w:tc>
        <w:tc>
          <w:tcPr>
            <w:tcW w:type="dxa" w:w="23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Terra</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GRAINIS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Peso de um cristal de Aethra puro</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grão de areia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grama</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MORA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grainis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maçã pequena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gramas</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STELLA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 mora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espada leve</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quilo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HABOR</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stella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homem adulto médio</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kg</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MONTIS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habor</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elefante grande</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toneladas</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PLANUS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1.000.000 habor</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pequena montanha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 toneladas</w:t>
            </w:r>
          </w:p>
        </w:tc>
      </w:tr>
    </w:tbl>
    <w:p>
      <w:pPr>
        <w:spacing w:before="200"/>
      </w:pPr>
    </w:p>
    <w:p>
      <w:pPr>
        <w:pStyle w:val="Heading2"/>
      </w:pPr>
      <w:r>
        <w:t xml:space="preserve">3.4 Medidas de Volume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400"/>
        <w:gridCol w:w="2800"/>
        <w:gridCol w:w="23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Definição</w:t>
            </w:r>
          </w:p>
        </w:tc>
        <w:tc>
          <w:tcPr>
            <w:tcW w:type="dxa" w:w="2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Referência Narrativa</w:t>
            </w:r>
          </w:p>
        </w:tc>
        <w:tc>
          <w:tcPr>
            <w:tcW w:type="dxa" w:w="23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Terra</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GUTTA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Volume de uma lágrima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gota de água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mililitro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POCULA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gutta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xícara de chá</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ml</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AMPHORA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 pocula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balde grande</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litro</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CISTERNA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amphora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pequena piscina</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 litros</w:t>
            </w:r>
          </w:p>
        </w:tc>
      </w:tr>
      <w:tr>
        <w:tc>
          <w:tcPr>
            <w:tcW w:type="dxa" w:w="18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LACUS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1.000.000 amphora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 lago pequeno</w:t>
            </w:r>
          </w:p>
        </w:tc>
        <w:tc>
          <w:tcPr>
            <w:tcW w:type="dxa" w:w="2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~1.000.000 litros</w:t>
            </w:r>
          </w:p>
        </w:tc>
      </w:tr>
    </w:tbl>
    <w:p>
      <w:pPr>
        <w:spacing w:before="200"/>
      </w:pPr>
    </w:p>
    <w:p>
      <w:pPr>
        <w:pStyle w:val="Heading2"/>
      </w:pPr>
      <w:r>
        <w:t xml:space="preserve">3.5 Medidas de Temperatura</w:t>
      </w:r>
    </w:p>
    <w:p>
      <w:pPr>
        <w:spacing w:after="120" w:before="0" w:line="312"/>
        <w:ind w:firstLine="480"/>
        <w:jc w:val="both"/>
      </w:pPr>
      <w:r>
        <w:rPr>
          <w:rFonts w:ascii="Times New Roman" w:cs="Times New Roman" w:eastAsia="Times New Roman" w:hAnsi="Times New Roman"/>
          <w:sz w:val="22"/>
          <w:szCs w:val="22"/>
        </w:rPr>
        <w:t xml:space="preserve">Aetherion utilizava um sistema de temperatura baseado em estados da água e do Aethra, com zero sendo o ponto de congelamento da água pura: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3000"/>
        <w:gridCol w:w="2500"/>
        <w:gridCol w:w="1860"/>
      </w:tblGrid>
      <w:tr>
        <w:trPr>
          <w:tblHeader/>
        </w:trPr>
        <w:tc>
          <w:tcPr>
            <w:tcW w:type="dxa" w:w="20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30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Ponto de Referência</w:t>
            </w:r>
          </w:p>
        </w:tc>
        <w:tc>
          <w:tcPr>
            <w:tcW w:type="dxa" w:w="25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Escala</w:t>
            </w:r>
          </w:p>
        </w:tc>
        <w:tc>
          <w:tcPr>
            <w:tcW w:type="dxa" w:w="18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w:t>
            </w:r>
          </w:p>
        </w:tc>
      </w:tr>
      <w:tr>
        <w:tc>
          <w:tcPr>
            <w:tcW w:type="dxa" w:w="20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FRIGUS</w:t>
            </w:r>
          </w:p>
        </w:tc>
        <w:tc>
          <w:tcPr>
            <w:tcW w:type="dxa" w:w="30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Zero Aetheriano - Água congela</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0°Frig</w:t>
            </w:r>
          </w:p>
        </w:tc>
        <w:tc>
          <w:tcPr>
            <w:tcW w:type="dxa" w:w="18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0°C</w:t>
            </w:r>
          </w:p>
        </w:tc>
      </w:tr>
      <w:tr>
        <w:tc>
          <w:tcPr>
            <w:tcW w:type="dxa" w:w="20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TEPIDUS</w:t>
            </w:r>
          </w:p>
        </w:tc>
        <w:tc>
          <w:tcPr>
            <w:tcW w:type="dxa" w:w="30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Temperatura corporal saudável</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37°Frig</w:t>
            </w:r>
          </w:p>
        </w:tc>
        <w:tc>
          <w:tcPr>
            <w:tcW w:type="dxa" w:w="18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37°C</w:t>
            </w:r>
          </w:p>
        </w:tc>
      </w:tr>
      <w:tr>
        <w:tc>
          <w:tcPr>
            <w:tcW w:type="dxa" w:w="20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CALIDUS</w:t>
            </w:r>
          </w:p>
        </w:tc>
        <w:tc>
          <w:tcPr>
            <w:tcW w:type="dxa" w:w="30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Água ferve ao nível do mar</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100°Frig</w:t>
            </w:r>
          </w:p>
        </w:tc>
        <w:tc>
          <w:tcPr>
            <w:tcW w:type="dxa" w:w="18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100°C</w:t>
            </w:r>
          </w:p>
        </w:tc>
      </w:tr>
      <w:tr>
        <w:tc>
          <w:tcPr>
            <w:tcW w:type="dxa" w:w="20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IGNIS</w:t>
            </w:r>
          </w:p>
        </w:tc>
        <w:tc>
          <w:tcPr>
            <w:tcW w:type="dxa" w:w="30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Aethra começa a cristalizar</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1.000°Frig</w:t>
            </w:r>
          </w:p>
        </w:tc>
        <w:tc>
          <w:tcPr>
            <w:tcW w:type="dxa" w:w="18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1.000°C</w:t>
            </w:r>
          </w:p>
        </w:tc>
      </w:tr>
      <w:tr>
        <w:tc>
          <w:tcPr>
            <w:tcW w:type="dxa" w:w="2000"/>
            <w:tcBorders>
              <w:top w:val="single" w:color="9AA6B2" w:sz="1"/>
              <w:left w:val="single" w:color="9AA6B2" w:sz="1"/>
              <w:bottom w:val="single" w:color="9AA6B2" w:sz="1"/>
              <w:right w:val="single" w:color="9AA6B2" w:sz="1"/>
            </w:tcBorders>
            <w:shd w:fill="E3F2FD"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STELLARIS</w:t>
            </w:r>
          </w:p>
        </w:tc>
        <w:tc>
          <w:tcPr>
            <w:tcW w:type="dxa" w:w="30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Temperatura de superfície estelar</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6.000°Frig</w:t>
            </w:r>
          </w:p>
        </w:tc>
        <w:tc>
          <w:tcPr>
            <w:tcW w:type="dxa" w:w="18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~6.000°C</w:t>
            </w:r>
          </w:p>
        </w:tc>
      </w:tr>
    </w:tbl>
    <w:p>
      <w:pPr>
        <w:spacing w:before="200"/>
      </w:pPr>
    </w:p>
    <w:p>
      <w:pPr>
        <w:pStyle w:val="Heading1"/>
      </w:pPr>
      <w:r>
        <w:t xml:space="preserve">4. Sistema Monetário Aetheriano</w:t>
      </w:r>
    </w:p>
    <w:p>
      <w:pPr>
        <w:pStyle w:val="Heading2"/>
      </w:pPr>
      <w:r>
        <w:t xml:space="preserve">4.1 Fundamento Econômico</w:t>
      </w:r>
    </w:p>
    <w:p>
      <w:pPr>
        <w:spacing w:after="120" w:before="0" w:line="312"/>
        <w:ind w:firstLine="480"/>
        <w:jc w:val="both"/>
      </w:pPr>
      <w:r>
        <w:rPr>
          <w:rFonts w:ascii="Times New Roman" w:cs="Times New Roman" w:eastAsia="Times New Roman" w:hAnsi="Times New Roman"/>
          <w:sz w:val="22"/>
          <w:szCs w:val="22"/>
        </w:rPr>
        <w:t xml:space="preserve">Uma civilização capaz de harnessar energia estelar e criar matéria através de Aethra desenvolveria um sistema econômico baseado em algo mais fundamental que metais preciosos ou papel-moeda. Aetherion utilizava um sistema de crédito energético, onde a moeda representava unidades de energia processada e verificada pela rede de Cristais de Ressonância.</w:t>
      </w:r>
    </w:p>
    <w:p>
      <w:pPr>
        <w:spacing w:after="120" w:before="0" w:line="312"/>
        <w:ind w:firstLine="480"/>
        <w:jc w:val="both"/>
      </w:pPr>
      <w:r>
        <w:rPr>
          <w:rFonts w:ascii="Times New Roman" w:cs="Times New Roman" w:eastAsia="Times New Roman" w:hAnsi="Times New Roman"/>
          <w:sz w:val="22"/>
          <w:szCs w:val="22"/>
        </w:rPr>
        <w:t xml:space="preserve">O valor era intrinsecamente ligado a Aethra e energia pura - coisas que não podiam ser falsificadas ou inflacionadas artificialmente. Cada unidade monetária era respaldada por uma quantidade específica de energia processada, garantindo estabilidade econômica impossível em sistemas baseados em fé governamental.</w:t>
      </w:r>
    </w:p>
    <w:p>
      <w:pPr>
        <w:pStyle w:val="Heading2"/>
      </w:pPr>
      <w:r>
        <w:t xml:space="preserve">4.2 Moedas Principais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600"/>
        <w:gridCol w:w="2200"/>
        <w:gridCol w:w="2400"/>
        <w:gridCol w:w="1600"/>
        <w:gridCol w:w="1560"/>
      </w:tblGrid>
      <w:tr>
        <w:trPr>
          <w:tblHeader/>
        </w:trPr>
        <w:tc>
          <w:tcPr>
            <w:tcW w:type="dxa" w:w="16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2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Material</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Valor Relativo</w:t>
            </w:r>
          </w:p>
        </w:tc>
        <w:tc>
          <w:tcPr>
            <w:tcW w:type="dxa" w:w="16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Poder de Compra</w:t>
            </w:r>
          </w:p>
        </w:tc>
        <w:tc>
          <w:tcPr>
            <w:tcW w:type="dxa" w:w="15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w:t>
            </w:r>
          </w:p>
        </w:tc>
      </w:tr>
      <w:tr>
        <w:tc>
          <w:tcPr>
            <w:tcW w:type="dxa" w:w="1600"/>
            <w:tcBorders>
              <w:top w:val="single" w:color="9AA6B2" w:sz="1"/>
              <w:left w:val="single" w:color="9AA6B2" w:sz="1"/>
              <w:bottom w:val="single" w:color="9AA6B2" w:sz="1"/>
              <w:right w:val="single" w:color="9AA6B2" w:sz="1"/>
            </w:tcBorders>
            <w:shd w:fill="FFF8E1"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SPARK</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sintético básico</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Unidade base</w:t>
            </w:r>
          </w:p>
        </w:tc>
        <w:tc>
          <w:tcPr>
            <w:tcW w:type="dxa" w:w="1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refeição simples</w:t>
            </w:r>
          </w:p>
        </w:tc>
        <w:tc>
          <w:tcPr>
            <w:tcW w:type="dxa" w:w="1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USD</w:t>
            </w:r>
          </w:p>
        </w:tc>
      </w:tr>
      <w:tr>
        <w:tc>
          <w:tcPr>
            <w:tcW w:type="dxa" w:w="1600"/>
            <w:tcBorders>
              <w:top w:val="single" w:color="9AA6B2" w:sz="1"/>
              <w:left w:val="single" w:color="9AA6B2" w:sz="1"/>
              <w:bottom w:val="single" w:color="9AA6B2" w:sz="1"/>
              <w:right w:val="single" w:color="9AA6B2" w:sz="1"/>
            </w:tcBorders>
            <w:shd w:fill="FFF8E1"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GLOW</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com traço de Aethra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sparks</w:t>
            </w:r>
          </w:p>
        </w:tc>
        <w:tc>
          <w:tcPr>
            <w:tcW w:type="dxa" w:w="1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noite de hospedagem</w:t>
            </w:r>
          </w:p>
        </w:tc>
        <w:tc>
          <w:tcPr>
            <w:tcW w:type="dxa" w:w="1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USD</w:t>
            </w:r>
          </w:p>
        </w:tc>
      </w:tr>
      <w:tr>
        <w:tc>
          <w:tcPr>
            <w:tcW w:type="dxa" w:w="1600"/>
            <w:tcBorders>
              <w:top w:val="single" w:color="9AA6B2" w:sz="1"/>
              <w:left w:val="single" w:color="9AA6B2" w:sz="1"/>
              <w:bottom w:val="single" w:color="9AA6B2" w:sz="1"/>
              <w:right w:val="single" w:color="9AA6B2" w:sz="1"/>
            </w:tcBorders>
            <w:shd w:fill="FFF8E1"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SHINE</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de ressonância média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glows</w:t>
            </w:r>
          </w:p>
        </w:tc>
        <w:tc>
          <w:tcPr>
            <w:tcW w:type="dxa" w:w="1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arma comum</w:t>
            </w:r>
          </w:p>
        </w:tc>
        <w:tc>
          <w:tcPr>
            <w:tcW w:type="dxa" w:w="1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 USD</w:t>
            </w:r>
          </w:p>
        </w:tc>
      </w:tr>
      <w:tr>
        <w:tc>
          <w:tcPr>
            <w:tcW w:type="dxa" w:w="1600"/>
            <w:tcBorders>
              <w:top w:val="single" w:color="9AA6B2" w:sz="1"/>
              <w:left w:val="single" w:color="9AA6B2" w:sz="1"/>
              <w:bottom w:val="single" w:color="9AA6B2" w:sz="1"/>
              <w:right w:val="single" w:color="9AA6B2" w:sz="1"/>
            </w:tcBorders>
            <w:shd w:fill="FFF8E1"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RADIANT</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de ressonância superior</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shines</w:t>
            </w:r>
          </w:p>
        </w:tc>
        <w:tc>
          <w:tcPr>
            <w:tcW w:type="dxa" w:w="1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casa modesta</w:t>
            </w:r>
          </w:p>
        </w:tc>
        <w:tc>
          <w:tcPr>
            <w:tcW w:type="dxa" w:w="1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~$1.000.000 USD</w:t>
            </w:r>
          </w:p>
        </w:tc>
      </w:tr>
      <w:tr>
        <w:tc>
          <w:tcPr>
            <w:tcW w:type="dxa" w:w="1600"/>
            <w:tcBorders>
              <w:top w:val="single" w:color="9AA6B2" w:sz="1"/>
              <w:left w:val="single" w:color="9AA6B2" w:sz="1"/>
              <w:bottom w:val="single" w:color="9AA6B2" w:sz="1"/>
              <w:right w:val="single" w:color="9AA6B2" w:sz="1"/>
            </w:tcBorders>
            <w:shd w:fill="FFF8E1"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LUMINARY</w:t>
            </w:r>
          </w:p>
        </w:tc>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primordial autêntico</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radiants</w:t>
            </w:r>
          </w:p>
        </w:tc>
        <w:tc>
          <w:tcPr>
            <w:tcW w:type="dxa" w:w="1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Uma cidade pequena</w:t>
            </w:r>
          </w:p>
        </w:tc>
        <w:tc>
          <w:tcPr>
            <w:tcW w:type="dxa" w:w="15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~$100M USD</w:t>
            </w:r>
          </w:p>
        </w:tc>
      </w:tr>
    </w:tbl>
    <w:p>
      <w:pPr>
        <w:spacing w:before="200"/>
      </w:pPr>
    </w:p>
    <w:p>
      <w:pPr>
        <w:pStyle w:val="Heading2"/>
      </w:pPr>
      <w:r>
        <w:t xml:space="preserve">4.3 Sistema Pós-Queda</w:t>
      </w:r>
    </w:p>
    <w:p>
      <w:pPr>
        <w:spacing w:after="120" w:before="0" w:line="312"/>
        <w:ind w:firstLine="480"/>
        <w:jc w:val="both"/>
      </w:pPr>
      <w:r>
        <w:rPr>
          <w:rFonts w:ascii="Times New Roman" w:cs="Times New Roman" w:eastAsia="Times New Roman" w:hAnsi="Times New Roman"/>
          <w:sz w:val="22"/>
          <w:szCs w:val="22"/>
        </w:rPr>
        <w:t xml:space="preserve">Após a queda de Aetherion, o sistema monetário fragmentou-se. Cada reino desenvolveu sua própria moeda baseada nos recursos locais, mas manteve conceitos similares de valor energético: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400"/>
        <w:gridCol w:w="2400"/>
        <w:gridCol w:w="2760"/>
      </w:tblGrid>
      <w:tr>
        <w:trPr>
          <w:tblHeader/>
        </w:trPr>
        <w:tc>
          <w:tcPr>
            <w:tcW w:type="dxa" w:w="1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Reino</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Moeda Base</w:t>
            </w:r>
          </w:p>
        </w:tc>
        <w:tc>
          <w:tcPr>
            <w:tcW w:type="dxa" w:w="24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Material</w:t>
            </w:r>
          </w:p>
        </w:tc>
        <w:tc>
          <w:tcPr>
            <w:tcW w:type="dxa" w:w="27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Fogo (Ignarra)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EMBER</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Moeda de cobre com núcleo aquecido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spark</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Água (Aqualyss)</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PEARL</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Pérola cultivada com Aethra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spark</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Terra (Lithorra)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STONE</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Pedra semipreciosa comum</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spark</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Vento (Velarya)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WHISPER</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oco que ressoa ao vento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spark</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Raio (Tempestra)</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VOLT</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que brilha com estática</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spark</w:t>
            </w:r>
          </w:p>
        </w:tc>
      </w:tr>
      <w:tr>
        <w:tc>
          <w:tcPr>
            <w:tcW w:type="dxa" w:w="1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Sanctrum (GM)</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AETHER (oficial)</w:t>
            </w:r>
          </w:p>
        </w:tc>
        <w:tc>
          <w:tcPr>
            <w:tcW w:type="dxa" w:w="24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Cristal de ressonância padrão</w:t>
            </w:r>
          </w:p>
        </w:tc>
        <w:tc>
          <w:tcPr>
            <w:tcW w:type="dxa" w:w="27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glow</w:t>
            </w:r>
          </w:p>
        </w:tc>
      </w:tr>
    </w:tbl>
    <w:p>
      <w:pPr>
        <w:spacing w:before="200"/>
      </w:pPr>
    </w:p>
    <w:p>
      <w:pPr>
        <w:pStyle w:val="Heading2"/>
      </w:pPr>
      <w:r>
        <w:t xml:space="preserve">4.4 Taxas de Câmbio Comuns</w:t>
      </w:r>
    </w:p>
    <w:p>
      <w:pPr>
        <w:spacing w:after="120" w:before="0" w:line="312"/>
        <w:ind w:firstLine="480"/>
        <w:jc w:val="both"/>
      </w:pPr>
      <w:r>
        <w:rPr>
          <w:rFonts w:ascii="Times New Roman" w:cs="Times New Roman" w:eastAsia="Times New Roman" w:hAnsi="Times New Roman"/>
          <w:sz w:val="22"/>
          <w:szCs w:val="22"/>
        </w:rPr>
        <w:t xml:space="preserve">O comércio entre reinos exigia entendimento de taxas flutuantes. Mercadores usavam cristais de conversão - artefatos que podiam avaliar o conteúdo de Aethra em qualquer moeda: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Moeda</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Em Sparks</w:t>
            </w:r>
          </w:p>
        </w:tc>
        <w:tc>
          <w:tcPr>
            <w:tcW w:type="dxa" w:w="312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Em Aether (Sanctrum)</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Ember (Fogo)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1.2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0.012 aether</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Pearl (Água)</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1.5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0.015 aether</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Stone (Terra)</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0.8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0.008 aether</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Whisper (Vento)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0.010 aether</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Volt (Raio)</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1.3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0.013 aether</w:t>
            </w:r>
          </w:p>
        </w:tc>
      </w:tr>
      <w:tr>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Aether (Sanctrum)</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sparks</w:t>
            </w:r>
          </w:p>
        </w:tc>
        <w:tc>
          <w:tcPr>
            <w:tcW w:type="dxa" w:w="312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 aether</w:t>
            </w:r>
          </w:p>
        </w:tc>
      </w:tr>
    </w:tbl>
    <w:p>
      <w:pPr>
        <w:spacing w:before="200"/>
      </w:pPr>
    </w:p>
    <w:p>
      <w:pPr>
        <w:pStyle w:val="Heading2"/>
      </w:pPr>
      <w:r>
        <w:t xml:space="preserve">4.5 Exemplos de Uso Narrativo</w:t>
      </w:r>
    </w:p>
    <w:p>
      <w:pPr>
        <w:spacing w:after="120" w:before="0" w:line="312"/>
        <w:ind w:firstLine="480"/>
        <w:jc w:val="both"/>
      </w:pPr>
      <w:r>
        <w:rPr>
          <w:rFonts w:ascii="Times New Roman" w:cs="Times New Roman" w:eastAsia="Times New Roman" w:hAnsi="Times New Roman"/>
          <w:sz w:val="22"/>
          <w:szCs w:val="22"/>
        </w:rPr>
        <w:t xml:space="preserve">O sistema monetário pode ser introduzido naturalmente através de transações:</w:t>
      </w:r>
    </w:p>
    <w:p>
      <w:pPr>
        <w:pStyle w:val="ListParagraph"/>
        <w:numPr>
          <w:ilvl w:val="0"/>
          <w:numId w:val="2"/>
        </w:numPr>
        <w:spacing w:line="312"/>
      </w:pPr>
      <w:r>
        <w:rPr>
          <w:rFonts w:ascii="Times New Roman" w:cs="Times New Roman" w:eastAsia="Times New Roman" w:hAnsi="Times New Roman"/>
          <w:sz w:val="22"/>
          <w:szCs w:val="22"/>
        </w:rPr>
        <w:t xml:space="preserve">"Três glows por uma espada? Isso é roubo!" -Negociação em mercado</w:t>
      </w:r>
    </w:p>
    <w:p>
      <w:pPr>
        <w:pStyle w:val="ListParagraph"/>
        <w:numPr>
          <w:ilvl w:val="0"/>
          <w:numId w:val="2"/>
        </w:numPr>
        <w:spacing w:line="312"/>
      </w:pPr>
      <w:r>
        <w:rPr>
          <w:rFonts w:ascii="Times New Roman" w:cs="Times New Roman" w:eastAsia="Times New Roman" w:hAnsi="Times New Roman"/>
          <w:sz w:val="22"/>
          <w:szCs w:val="22"/>
        </w:rPr>
        <w:t xml:space="preserve">"O bounty pela cabeça do criminoso é de quinhentos shines - suficiente para comprar uma vila inteira."</w:t>
      </w:r>
    </w:p>
    <w:p>
      <w:pPr>
        <w:pStyle w:val="ListParagraph"/>
        <w:numPr>
          <w:ilvl w:val="0"/>
          <w:numId w:val="2"/>
        </w:numPr>
        <w:spacing w:line="312"/>
      </w:pPr>
      <w:r>
        <w:rPr>
          <w:rFonts w:ascii="Times New Roman" w:cs="Times New Roman" w:eastAsia="Times New Roman" w:hAnsi="Times New Roman"/>
          <w:sz w:val="22"/>
          <w:szCs w:val="22"/>
        </w:rPr>
        <w:t xml:space="preserve">"Um luminary... nunca vi um na vida real. Dizem que apenas os GMs lidam com moedas desse valor."</w:t>
      </w:r>
    </w:p>
    <w:p>
      <w:pPr>
        <w:pStyle w:val="ListParagraph"/>
        <w:numPr>
          <w:ilvl w:val="0"/>
          <w:numId w:val="2"/>
        </w:numPr>
        <w:spacing w:line="312"/>
      </w:pPr>
      <w:r>
        <w:rPr>
          <w:rFonts w:ascii="Times New Roman" w:cs="Times New Roman" w:eastAsia="Times New Roman" w:hAnsi="Times New Roman"/>
          <w:sz w:val="22"/>
          <w:szCs w:val="22"/>
        </w:rPr>
        <w:t xml:space="preserve">"Meus sessenta embers não compram nem uma noite em Sanctrum. Lá, tudo é em aethers."</w:t>
      </w:r>
    </w:p>
    <w:p>
      <w:pPr>
        <w:pStyle w:val="Heading1"/>
      </w:pPr>
      <w:r>
        <w:t xml:space="preserve">5. Guia Rápido de Referência</w:t>
      </w:r>
    </w:p>
    <w:p>
      <w:pPr>
        <w:pStyle w:val="Heading2"/>
      </w:pPr>
      <w:r>
        <w:t xml:space="preserve">5.1 Conversões Comuns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Categoria</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Unidade Aetheriana</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Equivalência Prática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Tempo pequeno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Thera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 segundos / um suspiro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Tempo médio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Varym</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hora / uma sessão de treino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Tempo grande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Lumen</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dia / um período de vigília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Tempo ano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Aether</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ano / uma estação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Distância curta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Stria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metro / um passo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Distância média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Kryon</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km / caminhada curta</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Distância grande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Vastis</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1000 km / entre cidades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Peso pequeno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Mora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100g / uma maçã</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Peso médio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Stella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 kg / uma espada leve</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Peso grande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Habor</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100 kg / um homem</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Moeda pequena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Spark</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Refeição simples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Moeda média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Glow</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Hospedagem/noturno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Moeda grande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Shine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Arma/casa modesta</w:t>
            </w:r>
          </w:p>
        </w:tc>
      </w:tr>
    </w:tbl>
    <w:p>
      <w:pPr>
        <w:spacing w:before="200"/>
      </w:pPr>
    </w:p>
    <w:p>
      <w:pPr>
        <w:pStyle w:val="Heading2"/>
      </w:pPr>
      <w:r>
        <w:t xml:space="preserve">5.2 Prefixos Numéricos Aetherianos</w:t>
      </w:r>
    </w:p>
    <w:p>
      <w:pPr>
        <w:spacing w:after="120" w:before="0" w:line="312"/>
        <w:ind w:firstLine="480"/>
        <w:jc w:val="both"/>
      </w:pPr>
      <w:r>
        <w:rPr>
          <w:rFonts w:ascii="Times New Roman" w:cs="Times New Roman" w:eastAsia="Times New Roman" w:hAnsi="Times New Roman"/>
          <w:sz w:val="22"/>
          <w:szCs w:val="22"/>
        </w:rPr>
        <w:t xml:space="preserve">Para números grandes, Aetherion utilizava prefixos baseados em potências de 100:</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Prefixo</w:t>
            </w:r>
          </w:p>
        </w:tc>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Multiplicador</w:t>
            </w:r>
          </w:p>
        </w:tc>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Exemplo</w:t>
            </w:r>
          </w:p>
        </w:tc>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Valor</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UNA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1x</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Una stria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metro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CENTA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100x</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Centa stria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 metros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KILA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1.000x</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Kila stria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 km</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MEGA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1.000.000x</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Mega stria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 km</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GIGA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1.000.000.000x</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Giga stria</w:t>
            </w:r>
          </w:p>
        </w:tc>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1.000.000 km</w:t>
            </w:r>
          </w:p>
        </w:tc>
      </w:tr>
    </w:tbl>
    <w:p>
      <w:pPr>
        <w:spacing w:before="200"/>
      </w:pPr>
    </w:p>
    <w:p>
      <w:pPr>
        <w:pStyle w:val="Heading1"/>
      </w:pPr>
      <w:r>
        <w:t xml:space="preserve">6. Implementação Narrativa</w:t>
      </w:r>
    </w:p>
    <w:p>
      <w:pPr>
        <w:spacing w:after="120" w:before="0" w:line="312"/>
        <w:ind w:firstLine="480"/>
        <w:jc w:val="both"/>
      </w:pPr>
      <w:r>
        <w:rPr>
          <w:rFonts w:ascii="Times New Roman" w:cs="Times New Roman" w:eastAsia="Times New Roman" w:hAnsi="Times New Roman"/>
          <w:sz w:val="22"/>
          <w:szCs w:val="22"/>
        </w:rPr>
        <w:t xml:space="preserve">A chave para uso efetivo destes sistemas é a introdução gradual e contextual. O público não precisa memorizar conversões - precisa sentir que o mundo é consistente e real. Algumas diretrizes para escritores:</w:t>
      </w:r>
    </w:p>
    <w:p>
      <w:pPr>
        <w:pStyle w:val="ListParagraph"/>
        <w:numPr>
          <w:ilvl w:val="0"/>
          <w:numId w:val="2"/>
        </w:numPr>
        <w:spacing w:line="312"/>
      </w:pPr>
      <w:r>
        <w:rPr>
          <w:rFonts w:ascii="Times New Roman" w:cs="Times New Roman" w:eastAsia="Times New Roman" w:hAnsi="Times New Roman"/>
          <w:sz w:val="22"/>
          <w:szCs w:val="22"/>
        </w:rPr>
        <w:t xml:space="preserve">Sempre fornecer contexto: 'três kryo de distância - uma caminhada de meio lumen'</w:t>
      </w:r>
    </w:p>
    <w:p>
      <w:pPr>
        <w:pStyle w:val="ListParagraph"/>
        <w:numPr>
          <w:ilvl w:val="0"/>
          <w:numId w:val="2"/>
        </w:numPr>
        <w:spacing w:line="312"/>
      </w:pPr>
      <w:r>
        <w:rPr>
          <w:rFonts w:ascii="Times New Roman" w:cs="Times New Roman" w:eastAsia="Times New Roman" w:hAnsi="Times New Roman"/>
          <w:sz w:val="22"/>
          <w:szCs w:val="22"/>
        </w:rPr>
        <w:t xml:space="preserve">Usar comparações práticas: 'pesava duas habor - o dobro de um homem adulto'</w:t>
      </w:r>
    </w:p>
    <w:p>
      <w:pPr>
        <w:pStyle w:val="ListParagraph"/>
        <w:numPr>
          <w:ilvl w:val="0"/>
          <w:numId w:val="2"/>
        </w:numPr>
        <w:spacing w:line="312"/>
      </w:pPr>
      <w:r>
        <w:rPr>
          <w:rFonts w:ascii="Times New Roman" w:cs="Times New Roman" w:eastAsia="Times New Roman" w:hAnsi="Times New Roman"/>
          <w:sz w:val="22"/>
          <w:szCs w:val="22"/>
        </w:rPr>
        <w:t xml:space="preserve">Permitir que personagens novatos perguntem: 'O que é um shine? Ah, suficiente para comprar minha vila'</w:t>
      </w:r>
    </w:p>
    <w:p>
      <w:pPr>
        <w:pStyle w:val="ListParagraph"/>
        <w:numPr>
          <w:ilvl w:val="0"/>
          <w:numId w:val="2"/>
        </w:numPr>
        <w:spacing w:line="312"/>
      </w:pPr>
      <w:r>
        <w:rPr>
          <w:rFonts w:ascii="Times New Roman" w:cs="Times New Roman" w:eastAsia="Times New Roman" w:hAnsi="Times New Roman"/>
          <w:sz w:val="22"/>
          <w:szCs w:val="22"/>
        </w:rPr>
        <w:t xml:space="preserve">Consistência é mais importante que precisão: usar as mesmas unidades para situações similares</w:t>
      </w:r>
    </w:p>
    <w:p>
      <w:pPr>
        <w:spacing w:after="120" w:before="0" w:line="312"/>
        <w:ind w:firstLine="480"/>
        <w:jc w:val="both"/>
      </w:pPr>
      <w:r>
        <w:rPr>
          <w:rFonts w:ascii="Times New Roman" w:cs="Times New Roman" w:eastAsia="Times New Roman" w:hAnsi="Times New Roman"/>
          <w:sz w:val="22"/>
          <w:szCs w:val="22"/>
        </w:rPr>
        <w:t xml:space="preserve">Com estes sistemas estabelecidos, o universo de Alyndras ganha uma camada adicional de autenticidade que fãs exigentes apreciarão. A coerência interna reforça a verossimilhança e permite que a história se desenrole sem quebras de imersão.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18"/>
        <w:szCs w:val="18"/>
      </w:rPr>
      <w:t xml:space="preserve">Universo de Alyndras - Sistemas de Mensuração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2026-03-17T19:53:29.732Z</dcterms:created>
  <dcterms:modified xsi:type="dcterms:W3CDTF">2026-03-17T19:53:29.732Z</dcterms:modified>
</cp:coreProperties>
</file>

<file path=docProps/custom.xml><?xml version="1.0" encoding="utf-8"?>
<Properties xmlns="http://schemas.openxmlformats.org/officeDocument/2006/custom-properties" xmlns:vt="http://schemas.openxmlformats.org/officeDocument/2006/docPropsVTypes"/>
</file>