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7C" w:rsidRDefault="00B50911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tax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reform</w:t>
      </w:r>
      <w:proofErr w:type="spellEnd"/>
      <w:r>
        <w:rPr>
          <w:lang w:val="es-ES"/>
        </w:rPr>
        <w:t xml:space="preserve"> 2019</w:t>
      </w:r>
    </w:p>
    <w:bookmarkEnd w:id="0"/>
    <w:p w:rsidR="00B50911" w:rsidRDefault="00B50911">
      <w:pPr>
        <w:rPr>
          <w:lang w:val="es-ES"/>
        </w:rPr>
      </w:pPr>
    </w:p>
    <w:p w:rsidR="00D45B46" w:rsidRDefault="00B50911" w:rsidP="00B50911">
      <w:pPr>
        <w:pStyle w:val="Prrafodelista"/>
        <w:numPr>
          <w:ilvl w:val="0"/>
          <w:numId w:val="1"/>
        </w:numPr>
        <w:rPr>
          <w:lang w:val="en-US"/>
        </w:rPr>
      </w:pPr>
      <w:r w:rsidRPr="00B50911">
        <w:rPr>
          <w:lang w:val="en-US"/>
        </w:rPr>
        <w:t xml:space="preserve">Labor income, capital income and </w:t>
      </w:r>
      <w:proofErr w:type="spellStart"/>
      <w:r w:rsidRPr="00B50911">
        <w:rPr>
          <w:lang w:val="en-US"/>
        </w:rPr>
        <w:t>n</w:t>
      </w:r>
      <w:r>
        <w:rPr>
          <w:lang w:val="en-US"/>
        </w:rPr>
        <w:t>on labor</w:t>
      </w:r>
      <w:proofErr w:type="spellEnd"/>
      <w:r>
        <w:rPr>
          <w:lang w:val="en-US"/>
        </w:rPr>
        <w:t xml:space="preserve"> income are </w:t>
      </w:r>
      <w:r w:rsidR="00F950E0">
        <w:rPr>
          <w:lang w:val="en-US"/>
        </w:rPr>
        <w:t xml:space="preserve">now </w:t>
      </w:r>
      <w:r>
        <w:rPr>
          <w:lang w:val="en-US"/>
        </w:rPr>
        <w:t>added in one “Cedula general”, so to calculate the liquid income we first must add the three</w:t>
      </w:r>
      <w:r w:rsidR="00D45B46">
        <w:rPr>
          <w:lang w:val="en-US"/>
        </w:rPr>
        <w:t xml:space="preserve"> kind of</w:t>
      </w:r>
      <w:r>
        <w:rPr>
          <w:lang w:val="en-US"/>
        </w:rPr>
        <w:t xml:space="preserve"> incomes</w:t>
      </w:r>
    </w:p>
    <w:p w:rsidR="00B50911" w:rsidRDefault="00D45B46" w:rsidP="00D45B4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</w:t>
      </w:r>
      <w:r w:rsidR="00B50911">
        <w:rPr>
          <w:lang w:val="en-US"/>
        </w:rPr>
        <w:t xml:space="preserve">, </w:t>
      </w:r>
      <w:r>
        <w:rPr>
          <w:lang w:val="en-US"/>
        </w:rPr>
        <w:t xml:space="preserve">add the “pension income” </w:t>
      </w:r>
      <w:r w:rsidR="00B50911">
        <w:rPr>
          <w:lang w:val="en-US"/>
        </w:rPr>
        <w:t>an</w:t>
      </w:r>
      <w:r>
        <w:rPr>
          <w:lang w:val="en-US"/>
        </w:rPr>
        <w:t>d</w:t>
      </w:r>
      <w:r w:rsidR="00B50911">
        <w:rPr>
          <w:lang w:val="en-US"/>
        </w:rPr>
        <w:t xml:space="preserve"> then </w:t>
      </w:r>
      <w:proofErr w:type="spellStart"/>
      <w:r w:rsidR="00B50911">
        <w:rPr>
          <w:lang w:val="en-US"/>
        </w:rPr>
        <w:t>substract</w:t>
      </w:r>
      <w:proofErr w:type="spellEnd"/>
      <w:r w:rsidR="00B50911">
        <w:rPr>
          <w:lang w:val="en-US"/>
        </w:rPr>
        <w:t xml:space="preserve"> the “</w:t>
      </w:r>
      <w:proofErr w:type="spellStart"/>
      <w:r w:rsidR="00B50911">
        <w:rPr>
          <w:lang w:val="en-US"/>
        </w:rPr>
        <w:t>ingresos</w:t>
      </w:r>
      <w:proofErr w:type="spellEnd"/>
      <w:r w:rsidR="00B50911">
        <w:rPr>
          <w:lang w:val="en-US"/>
        </w:rPr>
        <w:t xml:space="preserve"> no </w:t>
      </w:r>
      <w:proofErr w:type="spellStart"/>
      <w:r w:rsidR="00B50911">
        <w:rPr>
          <w:lang w:val="en-US"/>
        </w:rPr>
        <w:t>constitutivos</w:t>
      </w:r>
      <w:proofErr w:type="spellEnd"/>
      <w:r w:rsidR="00B50911">
        <w:rPr>
          <w:lang w:val="en-US"/>
        </w:rPr>
        <w:t xml:space="preserve"> de </w:t>
      </w:r>
      <w:proofErr w:type="spellStart"/>
      <w:r w:rsidR="00B50911">
        <w:rPr>
          <w:lang w:val="en-US"/>
        </w:rPr>
        <w:t>renta</w:t>
      </w:r>
      <w:proofErr w:type="spellEnd"/>
      <w:r w:rsidR="00B50911">
        <w:rPr>
          <w:lang w:val="en-US"/>
        </w:rPr>
        <w:t>”</w:t>
      </w:r>
      <w:r>
        <w:rPr>
          <w:lang w:val="en-US"/>
        </w:rPr>
        <w:t>. These “</w:t>
      </w:r>
      <w:proofErr w:type="spellStart"/>
      <w:r>
        <w:rPr>
          <w:lang w:val="en-US"/>
        </w:rPr>
        <w:t>ingresos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constitutivos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renta</w:t>
      </w:r>
      <w:proofErr w:type="spellEnd"/>
      <w:r>
        <w:rPr>
          <w:lang w:val="en-US"/>
        </w:rPr>
        <w:t>” are the same than the 2018 model for each kind of income.</w:t>
      </w:r>
    </w:p>
    <w:p w:rsidR="003D57E5" w:rsidRDefault="003D57E5" w:rsidP="00D45B4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deductions for this </w:t>
      </w:r>
      <w:r w:rsidR="0089792A">
        <w:rPr>
          <w:lang w:val="en-US"/>
        </w:rPr>
        <w:t xml:space="preserve">“cedula general” are the same that apply to labor income in 2018 model. The deductions for “pension income” are the same than 2018 for this kind of income. </w:t>
      </w:r>
    </w:p>
    <w:p w:rsidR="00D45B46" w:rsidRDefault="00F950E0" w:rsidP="00F950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 is the “base </w:t>
      </w:r>
      <w:proofErr w:type="spellStart"/>
      <w:r>
        <w:rPr>
          <w:lang w:val="en-US"/>
        </w:rPr>
        <w:t>gravable</w:t>
      </w:r>
      <w:proofErr w:type="spellEnd"/>
      <w:r>
        <w:rPr>
          <w:lang w:val="en-US"/>
        </w:rPr>
        <w:t>” that we use to calculate the tax. T</w:t>
      </w:r>
      <w:r w:rsidR="00D45B46">
        <w:rPr>
          <w:lang w:val="en-US"/>
        </w:rPr>
        <w:t xml:space="preserve">o </w:t>
      </w:r>
      <w:r>
        <w:rPr>
          <w:lang w:val="en-US"/>
        </w:rPr>
        <w:t xml:space="preserve">make the </w:t>
      </w:r>
      <w:r w:rsidR="00D45B46">
        <w:rPr>
          <w:lang w:val="en-US"/>
        </w:rPr>
        <w:t>calcula</w:t>
      </w:r>
      <w:r>
        <w:rPr>
          <w:lang w:val="en-US"/>
        </w:rPr>
        <w:t>tion</w:t>
      </w:r>
      <w:r w:rsidR="00D45B46">
        <w:rPr>
          <w:lang w:val="en-US"/>
        </w:rPr>
        <w:t xml:space="preserve">, we have to apply the next </w:t>
      </w:r>
      <w:r>
        <w:rPr>
          <w:lang w:val="en-US"/>
        </w:rPr>
        <w:t>table</w:t>
      </w:r>
      <w:r w:rsidR="00481C8C">
        <w:rPr>
          <w:lang w:val="en-US"/>
        </w:rPr>
        <w:t xml:space="preserve"> (first we must estimate the income in UVT)</w:t>
      </w:r>
      <w:r>
        <w:rPr>
          <w:lang w:val="en-US"/>
        </w:rPr>
        <w:t>:</w:t>
      </w:r>
    </w:p>
    <w:p w:rsidR="00F950E0" w:rsidRDefault="00F950E0" w:rsidP="00F950E0">
      <w:pPr>
        <w:pStyle w:val="Prrafodelista"/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1303"/>
        <w:gridCol w:w="1478"/>
        <w:gridCol w:w="2929"/>
      </w:tblGrid>
      <w:tr w:rsidR="00F950E0" w:rsidRPr="00F950E0" w:rsidTr="00F950E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0E0" w:rsidRPr="00F950E0" w:rsidRDefault="00F950E0" w:rsidP="00F950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Tarifas impuesto de renta</w:t>
            </w:r>
          </w:p>
        </w:tc>
      </w:tr>
      <w:tr w:rsidR="00F950E0" w:rsidRPr="00F950E0" w:rsidTr="00F950E0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Rangos UVT</w:t>
            </w:r>
          </w:p>
        </w:tc>
        <w:tc>
          <w:tcPr>
            <w:tcW w:w="8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Tarifa Marginal</w:t>
            </w:r>
          </w:p>
        </w:tc>
        <w:tc>
          <w:tcPr>
            <w:tcW w:w="16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Impuesto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Desde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Hasta</w:t>
            </w:r>
          </w:p>
        </w:tc>
        <w:tc>
          <w:tcPr>
            <w:tcW w:w="8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1700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19%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1090 UVT) x 19%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1700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28%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1700 UVT) x 28% + 116 UVT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8670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33%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4100 UVT) x 33% + 788 UVT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8670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18970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35%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8670 UVT) x 35% + 2296 UVT</w:t>
            </w:r>
          </w:p>
        </w:tc>
      </w:tr>
      <w:tr w:rsidR="00F950E0" w:rsidRPr="00F950E0" w:rsidTr="00F950E0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18970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31000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37%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18970 UVT) x 37% + 5901 UVT</w:t>
            </w:r>
          </w:p>
        </w:tc>
      </w:tr>
      <w:tr w:rsidR="00F950E0" w:rsidRPr="00F950E0" w:rsidTr="00F950E0">
        <w:trPr>
          <w:trHeight w:val="51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31000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En Adelante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39%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50E0" w:rsidRPr="00F950E0" w:rsidRDefault="00F950E0" w:rsidP="00F950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50E0">
              <w:rPr>
                <w:rFonts w:ascii="Arial" w:hAnsi="Arial" w:cs="Arial"/>
                <w:color w:val="000000"/>
                <w:sz w:val="16"/>
                <w:szCs w:val="16"/>
              </w:rPr>
              <w:t>(Base Gravable en UVT menos 31000 UVT) x 39% + 10352 UVT</w:t>
            </w:r>
          </w:p>
        </w:tc>
      </w:tr>
    </w:tbl>
    <w:p w:rsidR="00F950E0" w:rsidRDefault="00F950E0" w:rsidP="00F950E0">
      <w:pPr>
        <w:pStyle w:val="Prrafodelista"/>
      </w:pPr>
    </w:p>
    <w:p w:rsidR="00481C8C" w:rsidRDefault="00481C8C" w:rsidP="00473F17">
      <w:pPr>
        <w:pStyle w:val="Prrafodelista"/>
        <w:numPr>
          <w:ilvl w:val="0"/>
          <w:numId w:val="1"/>
        </w:numPr>
        <w:rPr>
          <w:lang w:val="en-US"/>
        </w:rPr>
      </w:pPr>
      <w:r w:rsidRPr="00481C8C">
        <w:rPr>
          <w:lang w:val="en-US"/>
        </w:rPr>
        <w:t xml:space="preserve">To estimate the taxes for </w:t>
      </w:r>
      <w:r w:rsidRPr="00481C8C">
        <w:rPr>
          <w:lang w:val="en-US"/>
        </w:rPr>
        <w:t>“</w:t>
      </w:r>
      <w:r w:rsidRPr="00481C8C">
        <w:rPr>
          <w:lang w:val="en-US"/>
        </w:rPr>
        <w:t>dividend</w:t>
      </w:r>
      <w:r w:rsidRPr="00481C8C">
        <w:rPr>
          <w:lang w:val="en-US"/>
        </w:rPr>
        <w:t xml:space="preserve"> income” </w:t>
      </w:r>
      <w:r w:rsidRPr="00481C8C">
        <w:rPr>
          <w:lang w:val="en-US"/>
        </w:rPr>
        <w:t>the procedure is</w:t>
      </w:r>
      <w:r>
        <w:rPr>
          <w:lang w:val="en-US"/>
        </w:rPr>
        <w:t xml:space="preserve"> almost</w:t>
      </w:r>
      <w:r w:rsidRPr="00481C8C">
        <w:rPr>
          <w:lang w:val="en-US"/>
        </w:rPr>
        <w:t xml:space="preserve"> the same than 2018 model. Once we estimate the </w:t>
      </w:r>
      <w:r w:rsidRPr="00481C8C">
        <w:rPr>
          <w:lang w:val="en-US"/>
        </w:rPr>
        <w:t xml:space="preserve">“base </w:t>
      </w:r>
      <w:proofErr w:type="spellStart"/>
      <w:r w:rsidRPr="00481C8C">
        <w:rPr>
          <w:lang w:val="en-US"/>
        </w:rPr>
        <w:t>gravable</w:t>
      </w:r>
      <w:proofErr w:type="spellEnd"/>
      <w:r w:rsidRPr="00481C8C">
        <w:rPr>
          <w:lang w:val="en-US"/>
        </w:rPr>
        <w:t>” that we use to calculate the tax. To make the calculation, we have to apply the next table (first we must estimate the income in UVT):</w:t>
      </w:r>
    </w:p>
    <w:p w:rsidR="003D57E5" w:rsidRDefault="003D57E5" w:rsidP="003D57E5">
      <w:pPr>
        <w:pStyle w:val="Prrafodelista"/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1275"/>
        <w:gridCol w:w="1563"/>
        <w:gridCol w:w="2901"/>
      </w:tblGrid>
      <w:tr w:rsidR="00481C8C" w:rsidTr="00481C8C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Rangos UVT</w:t>
            </w:r>
          </w:p>
        </w:tc>
        <w:tc>
          <w:tcPr>
            <w:tcW w:w="8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Tarifa Marginal</w:t>
            </w:r>
          </w:p>
        </w:tc>
        <w:tc>
          <w:tcPr>
            <w:tcW w:w="16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Impuesto</w:t>
            </w:r>
          </w:p>
        </w:tc>
      </w:tr>
      <w:tr w:rsidR="00481C8C" w:rsidTr="00481C8C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1C8C" w:rsidRDefault="00481C8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81C8C" w:rsidRDefault="00481C8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81C8C" w:rsidTr="00481C8C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81C8C" w:rsidTr="00481C8C">
        <w:trPr>
          <w:trHeight w:val="300"/>
        </w:trPr>
        <w:tc>
          <w:tcPr>
            <w:tcW w:w="1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&gt;300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 adelante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81C8C" w:rsidRDefault="00481C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Base gravable dividendos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UVT menos 300 UVT) x 15%</w:t>
            </w:r>
          </w:p>
        </w:tc>
      </w:tr>
    </w:tbl>
    <w:p w:rsidR="00481C8C" w:rsidRPr="003D57E5" w:rsidRDefault="00481C8C" w:rsidP="003D57E5">
      <w:pPr>
        <w:rPr>
          <w:lang w:val="en-US"/>
        </w:rPr>
      </w:pPr>
    </w:p>
    <w:sectPr w:rsidR="00481C8C" w:rsidRPr="003D57E5" w:rsidSect="00113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0EE"/>
    <w:multiLevelType w:val="hybridMultilevel"/>
    <w:tmpl w:val="83A83B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7356"/>
    <w:multiLevelType w:val="hybridMultilevel"/>
    <w:tmpl w:val="16565EE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11"/>
    <w:rsid w:val="0001142F"/>
    <w:rsid w:val="00113EFD"/>
    <w:rsid w:val="003D57E5"/>
    <w:rsid w:val="00481C8C"/>
    <w:rsid w:val="0089792A"/>
    <w:rsid w:val="009F119F"/>
    <w:rsid w:val="00A46F62"/>
    <w:rsid w:val="00B50911"/>
    <w:rsid w:val="00D45B46"/>
    <w:rsid w:val="00F9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23CFDB"/>
  <w15:chartTrackingRefBased/>
  <w15:docId w15:val="{A3ADDA83-5D10-0848-A32F-0A568A6C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8C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91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Manrique</dc:creator>
  <cp:keywords/>
  <dc:description/>
  <cp:lastModifiedBy>Juan Manrique</cp:lastModifiedBy>
  <cp:revision>1</cp:revision>
  <dcterms:created xsi:type="dcterms:W3CDTF">2019-05-07T03:05:00Z</dcterms:created>
  <dcterms:modified xsi:type="dcterms:W3CDTF">2019-05-07T04:04:00Z</dcterms:modified>
</cp:coreProperties>
</file>