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C409" w14:textId="77777777" w:rsidR="00B23765" w:rsidRDefault="00B23765" w:rsidP="00B2376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SLOVENSKÁ TECHNICKÁ UNIVERZITA V BRATISLAVE</w:t>
      </w:r>
    </w:p>
    <w:p w14:paraId="7CC74C6E" w14:textId="77777777" w:rsidR="00B23765" w:rsidRDefault="00B23765" w:rsidP="00B2376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 ELEKTROTECHNIKY A INFORMATIKY</w:t>
      </w:r>
    </w:p>
    <w:p w14:paraId="04CC1CE3" w14:textId="77777777" w:rsidR="00B23765" w:rsidRDefault="00B23765" w:rsidP="00B23765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257CECEF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449A56B4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6FFD14F9" w14:textId="77777777" w:rsidR="00B23765" w:rsidRDefault="00B23765" w:rsidP="00B23765">
      <w:pPr>
        <w:widowControl w:val="0"/>
        <w:spacing w:line="240" w:lineRule="auto"/>
        <w:jc w:val="left"/>
      </w:pPr>
    </w:p>
    <w:p w14:paraId="5B1A8FA3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250551BC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581D53E4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78282D50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385F4DF3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3B3E2EBB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5B939266" w14:textId="77777777" w:rsidR="005E2D33" w:rsidRDefault="005E2D33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4764446C" w14:textId="77777777" w:rsidR="005E2D33" w:rsidRDefault="005E2D33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6CA1B641" w14:textId="77777777" w:rsidR="0073729A" w:rsidRDefault="0073729A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12D9BF59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468E63D1" w14:textId="77777777" w:rsidR="00B23765" w:rsidRPr="00B23765" w:rsidRDefault="00A952A0" w:rsidP="00B23765">
      <w:pPr>
        <w:spacing w:line="240" w:lineRule="auto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Biokybernetika</w:t>
      </w:r>
    </w:p>
    <w:p w14:paraId="5F982263" w14:textId="77777777" w:rsidR="00B23765" w:rsidRDefault="00B23765" w:rsidP="00B23765">
      <w:pPr>
        <w:spacing w:line="240" w:lineRule="auto"/>
        <w:jc w:val="center"/>
        <w:rPr>
          <w:b/>
          <w:smallCaps/>
          <w:sz w:val="32"/>
          <w:szCs w:val="32"/>
        </w:rPr>
      </w:pPr>
    </w:p>
    <w:p w14:paraId="6A6C2B85" w14:textId="70E600D9" w:rsidR="00B23765" w:rsidRPr="00B23765" w:rsidRDefault="00C41856" w:rsidP="00B23765">
      <w:pPr>
        <w:spacing w:before="120" w:line="240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FARMAKOKINETIKA A FARMAKODYNAMIKA</w:t>
      </w:r>
    </w:p>
    <w:p w14:paraId="52CE7B4F" w14:textId="77777777" w:rsidR="00B23765" w:rsidRDefault="00B23765" w:rsidP="00B23765">
      <w:pPr>
        <w:spacing w:line="240" w:lineRule="auto"/>
      </w:pPr>
    </w:p>
    <w:p w14:paraId="565D786A" w14:textId="77777777" w:rsidR="00B23765" w:rsidRDefault="00B23765" w:rsidP="00B23765">
      <w:pPr>
        <w:spacing w:line="240" w:lineRule="auto"/>
      </w:pPr>
    </w:p>
    <w:p w14:paraId="5AE157DE" w14:textId="77777777" w:rsidR="00B23765" w:rsidRDefault="00B23765" w:rsidP="00B23765">
      <w:pPr>
        <w:spacing w:line="240" w:lineRule="auto"/>
        <w:jc w:val="center"/>
      </w:pPr>
    </w:p>
    <w:p w14:paraId="11F4C5EE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659EC9C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2D722DE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426184C7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322F8FF3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65B225F5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E67092F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51D84077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02E00C0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2FDFB8B1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34BD2A5B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580EA68B" w14:textId="77777777" w:rsidR="00B23765" w:rsidRDefault="00B23765" w:rsidP="00B23765">
      <w:pPr>
        <w:rPr>
          <w:rFonts w:ascii="Times" w:eastAsia="Times" w:hAnsi="Times" w:cs="Times"/>
        </w:rPr>
      </w:pPr>
    </w:p>
    <w:p w14:paraId="45181942" w14:textId="77777777" w:rsidR="00B23765" w:rsidRDefault="00B23765" w:rsidP="00B23765">
      <w:pPr>
        <w:rPr>
          <w:rFonts w:ascii="Times" w:eastAsia="Times" w:hAnsi="Times" w:cs="Times"/>
        </w:rPr>
      </w:pPr>
    </w:p>
    <w:p w14:paraId="488DCEFE" w14:textId="77777777" w:rsidR="00B23765" w:rsidRDefault="00B23765" w:rsidP="00B23765">
      <w:pPr>
        <w:rPr>
          <w:rFonts w:ascii="Times" w:eastAsia="Times" w:hAnsi="Times" w:cs="Times"/>
        </w:rPr>
      </w:pPr>
    </w:p>
    <w:p w14:paraId="034AD433" w14:textId="77777777" w:rsidR="00B23765" w:rsidRDefault="00B23765" w:rsidP="00B23765">
      <w:pPr>
        <w:rPr>
          <w:rFonts w:ascii="Times" w:eastAsia="Times" w:hAnsi="Times" w:cs="Times"/>
        </w:rPr>
      </w:pPr>
    </w:p>
    <w:p w14:paraId="68BB478C" w14:textId="77777777" w:rsidR="00B23765" w:rsidRDefault="00B23765" w:rsidP="00B23765">
      <w:pPr>
        <w:widowControl w:val="0"/>
        <w:spacing w:line="240" w:lineRule="auto"/>
      </w:pPr>
    </w:p>
    <w:p w14:paraId="73B4A757" w14:textId="77777777" w:rsidR="00B23765" w:rsidRDefault="00B23765" w:rsidP="00775CA4">
      <w:pPr>
        <w:widowControl w:val="0"/>
        <w:spacing w:line="240" w:lineRule="auto"/>
        <w:rPr>
          <w:b/>
          <w:sz w:val="28"/>
          <w:szCs w:val="28"/>
        </w:rPr>
      </w:pPr>
    </w:p>
    <w:p w14:paraId="7484B182" w14:textId="77777777" w:rsidR="00736BE6" w:rsidRDefault="00736BE6" w:rsidP="00775CA4">
      <w:pPr>
        <w:widowControl w:val="0"/>
        <w:spacing w:line="240" w:lineRule="auto"/>
        <w:rPr>
          <w:b/>
          <w:sz w:val="28"/>
          <w:szCs w:val="28"/>
        </w:rPr>
      </w:pPr>
    </w:p>
    <w:p w14:paraId="219AC0A3" w14:textId="77777777" w:rsidR="00B23765" w:rsidRDefault="00B23765" w:rsidP="00B23765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48DD0328" w14:textId="632AABDE" w:rsidR="00012142" w:rsidRDefault="00B23765" w:rsidP="00012142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  <w:sectPr w:rsidR="0001214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" w:eastAsia="Times" w:hAnsi="Times" w:cs="Times"/>
          <w:b/>
          <w:sz w:val="28"/>
          <w:szCs w:val="28"/>
        </w:rPr>
        <w:t>Bratislava 202</w:t>
      </w:r>
      <w:r w:rsidR="00736BE6">
        <w:rPr>
          <w:rFonts w:ascii="Times" w:eastAsia="Times" w:hAnsi="Times" w:cs="Times"/>
          <w:b/>
          <w:sz w:val="28"/>
          <w:szCs w:val="28"/>
        </w:rPr>
        <w:t>3</w:t>
      </w:r>
      <w:r>
        <w:rPr>
          <w:rFonts w:ascii="Times" w:eastAsia="Times" w:hAnsi="Times" w:cs="Times"/>
          <w:b/>
          <w:sz w:val="28"/>
          <w:szCs w:val="28"/>
        </w:rPr>
        <w:tab/>
      </w:r>
      <w:r w:rsidR="004752E5">
        <w:rPr>
          <w:rFonts w:ascii="Times" w:eastAsia="Times" w:hAnsi="Times" w:cs="Times"/>
          <w:b/>
          <w:sz w:val="28"/>
          <w:szCs w:val="28"/>
        </w:rPr>
        <w:t>Daniel Fundárek</w:t>
      </w:r>
    </w:p>
    <w:p w14:paraId="61CEFC7B" w14:textId="77777777" w:rsidR="00C33A36" w:rsidRPr="00BD1C72" w:rsidRDefault="00AF183F" w:rsidP="00BD1C72">
      <w:pPr>
        <w:rPr>
          <w:b/>
          <w:sz w:val="40"/>
          <w:szCs w:val="40"/>
        </w:rPr>
      </w:pPr>
      <w:bookmarkStart w:id="0" w:name="_Toc133856045"/>
      <w:bookmarkStart w:id="1" w:name="_Toc133856121"/>
      <w:bookmarkStart w:id="2" w:name="_Toc133856248"/>
      <w:bookmarkStart w:id="3" w:name="_Toc148202787"/>
      <w:r w:rsidRPr="00BD1C72">
        <w:rPr>
          <w:b/>
          <w:sz w:val="40"/>
          <w:szCs w:val="40"/>
        </w:rPr>
        <w:lastRenderedPageBreak/>
        <w:t>Zadanie</w:t>
      </w:r>
      <w:bookmarkEnd w:id="0"/>
      <w:bookmarkEnd w:id="1"/>
      <w:bookmarkEnd w:id="2"/>
      <w:bookmarkEnd w:id="3"/>
    </w:p>
    <w:p w14:paraId="5CB8EA8D" w14:textId="01CA8548" w:rsidR="00B61E25" w:rsidRPr="005F59F3" w:rsidRDefault="007E7296" w:rsidP="00B61E25">
      <w:pPr>
        <w:rPr>
          <w:lang w:val="en-US"/>
        </w:rPr>
      </w:pPr>
      <w:r w:rsidRPr="007E7296">
        <w:rPr>
          <w:lang w:val="en-US"/>
        </w:rPr>
        <w:drawing>
          <wp:inline distT="0" distB="0" distL="0" distR="0" wp14:anchorId="5167CE68" wp14:editId="67627442">
            <wp:extent cx="5861685" cy="2657475"/>
            <wp:effectExtent l="0" t="0" r="5715" b="9525"/>
            <wp:docPr id="55738017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80177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366" cy="26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0455" w14:textId="77777777" w:rsidR="00B61E25" w:rsidRDefault="00B61E25" w:rsidP="00B61E25"/>
    <w:p w14:paraId="6AB1F3F0" w14:textId="77777777" w:rsidR="00AD2319" w:rsidRDefault="00AD2319" w:rsidP="00B61E25"/>
    <w:p w14:paraId="47E82DD5" w14:textId="77777777" w:rsidR="00AD2319" w:rsidRDefault="00AD2319" w:rsidP="00B61E25"/>
    <w:p w14:paraId="31331095" w14:textId="77777777" w:rsidR="00AD2319" w:rsidRDefault="00AD2319" w:rsidP="00B61E25"/>
    <w:p w14:paraId="0F0FF38E" w14:textId="77777777" w:rsidR="00AD2319" w:rsidRDefault="00AD2319" w:rsidP="00B61E25"/>
    <w:p w14:paraId="71FF56BD" w14:textId="77777777" w:rsidR="00AD2319" w:rsidRDefault="00AD2319" w:rsidP="00B61E25"/>
    <w:p w14:paraId="6BAF8DCA" w14:textId="77777777" w:rsidR="00AD2319" w:rsidRDefault="00AD2319" w:rsidP="00B61E25"/>
    <w:p w14:paraId="48DF6569" w14:textId="77777777" w:rsidR="00AD2319" w:rsidRDefault="00AD2319" w:rsidP="00B61E25"/>
    <w:p w14:paraId="3D423DB1" w14:textId="77777777" w:rsidR="005F59F3" w:rsidRDefault="005F59F3" w:rsidP="00B61E25"/>
    <w:p w14:paraId="31459342" w14:textId="77777777" w:rsidR="005F59F3" w:rsidRDefault="005F59F3" w:rsidP="00B61E25"/>
    <w:p w14:paraId="552F0A4A" w14:textId="77777777" w:rsidR="005F59F3" w:rsidRDefault="005F59F3" w:rsidP="00B61E25"/>
    <w:p w14:paraId="08AAA562" w14:textId="77777777" w:rsidR="005F59F3" w:rsidRDefault="005F59F3" w:rsidP="00B61E25"/>
    <w:p w14:paraId="159754AE" w14:textId="77777777" w:rsidR="005F59F3" w:rsidRDefault="005F59F3" w:rsidP="00B61E25"/>
    <w:p w14:paraId="699853E7" w14:textId="77777777" w:rsidR="005F59F3" w:rsidRDefault="005F59F3" w:rsidP="00B61E25"/>
    <w:p w14:paraId="13D7A3B5" w14:textId="77777777" w:rsidR="005F59F3" w:rsidRDefault="005F59F3" w:rsidP="00B61E25"/>
    <w:p w14:paraId="52B0019D" w14:textId="77777777" w:rsidR="005F59F3" w:rsidRDefault="005F59F3" w:rsidP="00B61E25"/>
    <w:p w14:paraId="453AB9FA" w14:textId="77777777" w:rsidR="005F59F3" w:rsidRDefault="005F59F3" w:rsidP="00B61E25"/>
    <w:p w14:paraId="78FD92C5" w14:textId="77777777" w:rsidR="005F59F3" w:rsidRDefault="005F59F3" w:rsidP="00B61E25"/>
    <w:p w14:paraId="32F47F6F" w14:textId="77777777" w:rsidR="005F59F3" w:rsidRDefault="005F59F3" w:rsidP="00B61E25"/>
    <w:p w14:paraId="68C9A681" w14:textId="77777777" w:rsidR="005F59F3" w:rsidRDefault="005F59F3" w:rsidP="00B61E25"/>
    <w:p w14:paraId="1B059342" w14:textId="77777777" w:rsidR="005F59F3" w:rsidRDefault="005F59F3" w:rsidP="00B61E25"/>
    <w:p w14:paraId="3FEF1023" w14:textId="77777777" w:rsidR="005F59F3" w:rsidRDefault="005F59F3" w:rsidP="00B61E25"/>
    <w:p w14:paraId="514ADB4A" w14:textId="77777777" w:rsidR="005F59F3" w:rsidRDefault="005F59F3" w:rsidP="00B61E25"/>
    <w:p w14:paraId="3FCB9826" w14:textId="77777777" w:rsidR="005F59F3" w:rsidRPr="00BD1C72" w:rsidRDefault="005F59F3" w:rsidP="00BD1C72">
      <w:pPr>
        <w:rPr>
          <w:b/>
          <w:sz w:val="40"/>
          <w:szCs w:val="40"/>
        </w:rPr>
      </w:pPr>
      <w:bookmarkStart w:id="4" w:name="_Toc148202788"/>
      <w:r w:rsidRPr="00BD1C72">
        <w:rPr>
          <w:b/>
          <w:sz w:val="40"/>
          <w:szCs w:val="40"/>
        </w:rPr>
        <w:t>Obsah</w:t>
      </w:r>
      <w:bookmarkEnd w:id="4"/>
    </w:p>
    <w:p w14:paraId="21FD5683" w14:textId="5358E154" w:rsidR="0013616F" w:rsidRDefault="00A625F3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>
        <w:fldChar w:fldCharType="begin"/>
      </w:r>
      <w:r>
        <w:instrText xml:space="preserve"> TOC \o "1-3" \h \z \t "Nadpis;1" </w:instrText>
      </w:r>
      <w:r>
        <w:fldChar w:fldCharType="separate"/>
      </w:r>
      <w:hyperlink w:anchor="_Toc149501728" w:history="1">
        <w:r w:rsidR="0013616F" w:rsidRPr="00E40752">
          <w:rPr>
            <w:rStyle w:val="Hyperlink"/>
            <w:noProof/>
          </w:rPr>
          <w:t>1</w:t>
        </w:r>
        <w:r w:rsidR="00136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="0013616F" w:rsidRPr="00E40752">
          <w:rPr>
            <w:rStyle w:val="Hyperlink"/>
            <w:noProof/>
          </w:rPr>
          <w:t>Podsystém pre vstrebávanie inzulínu</w:t>
        </w:r>
        <w:r w:rsidR="0013616F">
          <w:rPr>
            <w:noProof/>
            <w:webHidden/>
          </w:rPr>
          <w:tab/>
        </w:r>
        <w:r w:rsidR="0013616F">
          <w:rPr>
            <w:noProof/>
            <w:webHidden/>
          </w:rPr>
          <w:fldChar w:fldCharType="begin"/>
        </w:r>
        <w:r w:rsidR="0013616F">
          <w:rPr>
            <w:noProof/>
            <w:webHidden/>
          </w:rPr>
          <w:instrText xml:space="preserve"> PAGEREF _Toc149501728 \h </w:instrText>
        </w:r>
        <w:r w:rsidR="0013616F">
          <w:rPr>
            <w:noProof/>
            <w:webHidden/>
          </w:rPr>
        </w:r>
        <w:r w:rsidR="0013616F"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4</w:t>
        </w:r>
        <w:r w:rsidR="0013616F">
          <w:rPr>
            <w:noProof/>
            <w:webHidden/>
          </w:rPr>
          <w:fldChar w:fldCharType="end"/>
        </w:r>
      </w:hyperlink>
    </w:p>
    <w:p w14:paraId="0EECA2CE" w14:textId="15855E24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29" w:history="1">
        <w:r w:rsidRPr="00E4075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Dáta Farmakokinetiky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2E69B1" w14:textId="20A08565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0" w:history="1">
        <w:r w:rsidRPr="00E4075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Podsystém vstrebávania inzulínu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96F43" w14:textId="74130CED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1" w:history="1">
        <w:r w:rsidRPr="00E4075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Simulačná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4E2D84" w14:textId="51F36BD4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2" w:history="1">
        <w:r w:rsidRPr="00E4075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Identifikácia neznámych parametrov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34E210" w14:textId="7DB5A390" w:rsidR="0013616F" w:rsidRDefault="0013616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3" w:history="1">
        <w:r w:rsidRPr="00E4075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Bergmanov minimálny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D17A19" w14:textId="0168DD8B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4" w:history="1">
        <w:r w:rsidRPr="00E4075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Dáta Farmakodynamiky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45D558" w14:textId="5C5E35CE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5" w:history="1">
        <w:r w:rsidRPr="00E4075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Bergmanov minimálny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1656A6" w14:textId="19D3B0FC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6" w:history="1">
        <w:r w:rsidRPr="00E4075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Simulačná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071BAA" w14:textId="59E76636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7" w:history="1">
        <w:r w:rsidRPr="00E40752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Identifikácia neznámych parametrov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08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10D2A9" w14:textId="40BCF7D0" w:rsidR="00AD2319" w:rsidRDefault="00A625F3" w:rsidP="00B61E25">
      <w:r>
        <w:fldChar w:fldCharType="end"/>
      </w:r>
    </w:p>
    <w:p w14:paraId="346E639A" w14:textId="77777777" w:rsidR="00AD2319" w:rsidRDefault="00AD2319" w:rsidP="00B61E25"/>
    <w:p w14:paraId="09EFEC5B" w14:textId="77777777" w:rsidR="00AD2319" w:rsidRDefault="00AD2319" w:rsidP="00B61E25"/>
    <w:p w14:paraId="544B17A1" w14:textId="77777777" w:rsidR="00AD2319" w:rsidRDefault="00AD2319" w:rsidP="00B61E25"/>
    <w:p w14:paraId="5FD65AA5" w14:textId="77777777" w:rsidR="00AD2319" w:rsidRDefault="00AD2319" w:rsidP="00B61E25"/>
    <w:p w14:paraId="3D606001" w14:textId="77777777" w:rsidR="00AD2319" w:rsidRDefault="00AD2319" w:rsidP="00B61E25"/>
    <w:p w14:paraId="354FEE11" w14:textId="77777777" w:rsidR="00CD16AF" w:rsidRDefault="00CD16AF" w:rsidP="00B61E25"/>
    <w:p w14:paraId="566CC4A3" w14:textId="77777777" w:rsidR="00AD2319" w:rsidRDefault="00AD2319" w:rsidP="00B61E25"/>
    <w:p w14:paraId="25C07F7A" w14:textId="77777777" w:rsidR="00AD2319" w:rsidRDefault="00AD2319" w:rsidP="00B61E25"/>
    <w:p w14:paraId="64E73220" w14:textId="77777777" w:rsidR="00185C2A" w:rsidRDefault="00185C2A" w:rsidP="00265D84"/>
    <w:p w14:paraId="147AE86B" w14:textId="77777777" w:rsidR="005F59F3" w:rsidRDefault="005F59F3" w:rsidP="00265D84"/>
    <w:p w14:paraId="4A330ED6" w14:textId="77777777" w:rsidR="005F59F3" w:rsidRDefault="005F59F3" w:rsidP="00265D84"/>
    <w:p w14:paraId="23CD09E6" w14:textId="77777777" w:rsidR="005F59F3" w:rsidRDefault="005F59F3" w:rsidP="00265D84"/>
    <w:p w14:paraId="0C019473" w14:textId="77777777" w:rsidR="005F59F3" w:rsidRDefault="005F59F3" w:rsidP="00265D84"/>
    <w:p w14:paraId="33A8B5BA" w14:textId="77777777" w:rsidR="005F59F3" w:rsidRDefault="005F59F3" w:rsidP="00265D84"/>
    <w:p w14:paraId="6A507204" w14:textId="77777777" w:rsidR="002B04E1" w:rsidRDefault="002B04E1" w:rsidP="00265D84">
      <w:pPr>
        <w:sectPr w:rsidR="002B04E1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32EE4D" w14:textId="77777777" w:rsidR="005F59F3" w:rsidRDefault="001C6790" w:rsidP="002B04E1">
      <w:pPr>
        <w:pStyle w:val="Heading1"/>
      </w:pPr>
      <w:bookmarkStart w:id="5" w:name="_Toc149501728"/>
      <w:r>
        <w:lastRenderedPageBreak/>
        <w:t>Podsystém pre vstrebávanie inzulínu</w:t>
      </w:r>
      <w:bookmarkEnd w:id="5"/>
      <w:r>
        <w:t xml:space="preserve"> </w:t>
      </w:r>
    </w:p>
    <w:p w14:paraId="5BECDA8F" w14:textId="4AA22C9A" w:rsidR="00AE02C5" w:rsidRDefault="007E7296" w:rsidP="0053269A">
      <w:pPr>
        <w:pStyle w:val="Heading2"/>
      </w:pPr>
      <w:bookmarkStart w:id="6" w:name="_Toc149501729"/>
      <w:r>
        <w:t>Dáta</w:t>
      </w:r>
      <w:r w:rsidR="00451198">
        <w:t xml:space="preserve"> </w:t>
      </w:r>
      <w:proofErr w:type="spellStart"/>
      <w:r w:rsidR="00451198">
        <w:t>Farmakokinetiky</w:t>
      </w:r>
      <w:bookmarkEnd w:id="6"/>
      <w:proofErr w:type="spellEnd"/>
    </w:p>
    <w:p w14:paraId="288990F1" w14:textId="1423B1A8" w:rsidR="006647D1" w:rsidRPr="007E7296" w:rsidRDefault="007E7296" w:rsidP="006647D1">
      <w:pPr>
        <w:rPr>
          <w:iCs/>
        </w:rPr>
      </w:pPr>
      <w:r>
        <w:t xml:space="preserve">Dáta </w:t>
      </w:r>
      <w:proofErr w:type="spellStart"/>
      <w:r>
        <w:t>farmakokinetiky</w:t>
      </w:r>
      <w:proofErr w:type="spellEnd"/>
      <w:r w:rsidR="006647D1">
        <w:t xml:space="preserve"> </w:t>
      </w:r>
      <w:r>
        <w:t>zodpovedajú časovému priebehu</w:t>
      </w:r>
      <w:r w:rsidR="006647D1">
        <w:t xml:space="preserve"> koncentráci</w:t>
      </w:r>
      <w:r>
        <w:t>e</w:t>
      </w:r>
      <w:r w:rsidR="006647D1">
        <w:t xml:space="preserve"> inzulínu </w:t>
      </w:r>
      <w:r>
        <w:t>v krvi</w:t>
      </w:r>
      <w:r w:rsidR="006647D1">
        <w:rPr>
          <w:lang w:val="en-US"/>
        </w:rPr>
        <w:t>[</w:t>
      </w:r>
      <w:proofErr w:type="spellStart"/>
      <w:r w:rsidR="006647D1" w:rsidRPr="006647D1">
        <w:rPr>
          <w:i/>
        </w:rPr>
        <w:t>pmol</w:t>
      </w:r>
      <w:proofErr w:type="spellEnd"/>
      <w:r w:rsidR="006647D1" w:rsidRPr="006647D1">
        <w:rPr>
          <w:i/>
        </w:rPr>
        <w:t>/l</w:t>
      </w:r>
      <w:r w:rsidR="006647D1">
        <w:rPr>
          <w:i/>
        </w:rPr>
        <w:t>]</w:t>
      </w:r>
      <w:r>
        <w:rPr>
          <w:i/>
        </w:rPr>
        <w:t>.</w:t>
      </w:r>
      <w:r w:rsidR="006647D1">
        <w:rPr>
          <w:i/>
        </w:rPr>
        <w:t xml:space="preserve"> </w:t>
      </w:r>
      <w:r w:rsidR="006647D1">
        <w:t xml:space="preserve"> </w:t>
      </w:r>
      <w:r>
        <w:t xml:space="preserve">Dáta sme skonvertovali z </w:t>
      </w:r>
      <w:r w:rsidR="006647D1">
        <w:t xml:space="preserve"> </w:t>
      </w:r>
      <w:r w:rsidR="007C7353" w:rsidRPr="007E7296">
        <w:rPr>
          <w:i/>
          <w:iCs/>
          <w:lang w:val="en-US"/>
        </w:rPr>
        <w:t>[</w:t>
      </w:r>
      <w:proofErr w:type="spellStart"/>
      <w:r w:rsidR="007C7353" w:rsidRPr="007E7296">
        <w:rPr>
          <w:i/>
          <w:iCs/>
        </w:rPr>
        <w:t>pmol</w:t>
      </w:r>
      <w:proofErr w:type="spellEnd"/>
      <w:r w:rsidR="007C7353" w:rsidRPr="007E7296">
        <w:rPr>
          <w:i/>
          <w:iCs/>
        </w:rPr>
        <w:t xml:space="preserve">/l] </w:t>
      </w:r>
      <w:proofErr w:type="spellStart"/>
      <w:r w:rsidRPr="007E7296">
        <w:rPr>
          <w:lang w:val="en-US"/>
        </w:rPr>
        <w:t>na</w:t>
      </w:r>
      <w:proofErr w:type="spellEnd"/>
      <w:r w:rsidRPr="007E7296">
        <w:rPr>
          <w:i/>
          <w:iCs/>
          <w:lang w:val="en-US"/>
        </w:rPr>
        <w:t xml:space="preserve"> </w:t>
      </w:r>
      <w:r w:rsidR="007C7353" w:rsidRPr="007E7296">
        <w:rPr>
          <w:i/>
          <w:iCs/>
        </w:rPr>
        <w:t xml:space="preserve"> </w:t>
      </w:r>
      <w:r w:rsidR="007C7353" w:rsidRPr="007E7296">
        <w:rPr>
          <w:i/>
          <w:iCs/>
          <w:lang w:val="en-US"/>
        </w:rPr>
        <w:t>[µ</w:t>
      </w:r>
      <w:r w:rsidR="007C7353" w:rsidRPr="007E7296">
        <w:rPr>
          <w:i/>
          <w:iCs/>
        </w:rPr>
        <w:t>U/ml]</w:t>
      </w:r>
      <w:r w:rsidRPr="007E7296">
        <w:t>(</w:t>
      </w:r>
      <w:r w:rsidRPr="007E7296">
        <w:rPr>
          <w:i/>
          <w:iCs/>
        </w:rPr>
        <w:t>1</w:t>
      </w:r>
      <w:r w:rsidRPr="007E7296">
        <w:rPr>
          <w:i/>
          <w:iCs/>
          <w:lang w:val="en-US"/>
        </w:rPr>
        <w:t>[</w:t>
      </w:r>
      <w:proofErr w:type="spellStart"/>
      <w:r w:rsidRPr="007E7296">
        <w:rPr>
          <w:i/>
          <w:iCs/>
        </w:rPr>
        <w:t>pmol</w:t>
      </w:r>
      <w:proofErr w:type="spellEnd"/>
      <w:r w:rsidRPr="007E7296">
        <w:rPr>
          <w:i/>
          <w:iCs/>
        </w:rPr>
        <w:t>/l]</w:t>
      </w:r>
      <w:r w:rsidRPr="007E7296">
        <w:rPr>
          <w:i/>
          <w:iCs/>
        </w:rPr>
        <w:t xml:space="preserve"> = 6</w:t>
      </w:r>
      <w:r w:rsidRPr="007E7296">
        <w:rPr>
          <w:i/>
          <w:iCs/>
          <w:lang w:val="en-US"/>
        </w:rPr>
        <w:t>[</w:t>
      </w:r>
      <w:r w:rsidRPr="006647D1">
        <w:rPr>
          <w:i/>
          <w:lang w:val="en-US"/>
        </w:rPr>
        <w:t>µ</w:t>
      </w:r>
      <w:r w:rsidRPr="006647D1">
        <w:rPr>
          <w:i/>
        </w:rPr>
        <w:t>U/ml</w:t>
      </w:r>
      <w:r>
        <w:rPr>
          <w:i/>
        </w:rPr>
        <w:t>]</w:t>
      </w:r>
      <w:r>
        <w:rPr>
          <w:i/>
        </w:rPr>
        <w:t xml:space="preserve"> </w:t>
      </w:r>
      <w:r>
        <w:rPr>
          <w:iCs/>
        </w:rPr>
        <w:t>).</w:t>
      </w:r>
    </w:p>
    <w:p w14:paraId="408A4418" w14:textId="77777777" w:rsidR="007C7353" w:rsidRPr="007C7353" w:rsidRDefault="007C7353" w:rsidP="006647D1">
      <w:pPr>
        <w:rPr>
          <w:lang w:val="en-US"/>
        </w:rPr>
      </w:pPr>
    </w:p>
    <w:p w14:paraId="13631EB1" w14:textId="3784DE6D" w:rsidR="00B45C1A" w:rsidRDefault="00D52BA1" w:rsidP="00B45C1A">
      <w:pPr>
        <w:pStyle w:val="Obrazok-popis"/>
        <w:keepNext/>
      </w:pPr>
      <w:r w:rsidRPr="00D52BA1">
        <w:drawing>
          <wp:inline distT="0" distB="0" distL="0" distR="0" wp14:anchorId="7F55DFEC" wp14:editId="00CA3ABB">
            <wp:extent cx="5760720" cy="4121150"/>
            <wp:effectExtent l="0" t="0" r="0" b="0"/>
            <wp:docPr id="895946923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46923" name="Picture 1" descr="A graph of a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B33" w14:textId="1BB84875" w:rsidR="00B45C1A" w:rsidRPr="00B45C1A" w:rsidRDefault="00B45C1A" w:rsidP="00B45C1A">
      <w:pPr>
        <w:pStyle w:val="Obrazok-popis"/>
      </w:pPr>
      <w:r>
        <w:t xml:space="preserve">Obr. </w:t>
      </w:r>
      <w:fldSimple w:instr=" SEQ Obr. \* ARABIC ">
        <w:r w:rsidR="00BC0866">
          <w:rPr>
            <w:noProof/>
          </w:rPr>
          <w:t>1</w:t>
        </w:r>
      </w:fldSimple>
      <w:r>
        <w:t xml:space="preserve">. </w:t>
      </w:r>
      <w:proofErr w:type="spellStart"/>
      <w:r w:rsidR="00D52BA1">
        <w:t>Farmakokinetika</w:t>
      </w:r>
      <w:proofErr w:type="spellEnd"/>
    </w:p>
    <w:p w14:paraId="16F4F7A2" w14:textId="77777777" w:rsidR="003473B2" w:rsidRDefault="003473B2" w:rsidP="003473B2"/>
    <w:p w14:paraId="4ECCCF1A" w14:textId="2784FAAC" w:rsidR="000528D3" w:rsidRDefault="007C5AA4" w:rsidP="00B74103">
      <w:pPr>
        <w:pStyle w:val="Heading2"/>
      </w:pPr>
      <w:bookmarkStart w:id="7" w:name="_Toc149501730"/>
      <w:r>
        <w:t>Podsystém vstrebávania inzulínu</w:t>
      </w:r>
      <w:bookmarkEnd w:id="7"/>
    </w:p>
    <w:p w14:paraId="31B78D73" w14:textId="69BA46AC" w:rsidR="00527062" w:rsidRPr="00C4538D" w:rsidRDefault="007C5AA4" w:rsidP="00C4538D">
      <w:r>
        <w:t>V </w:t>
      </w:r>
      <w:proofErr w:type="spellStart"/>
      <w:r>
        <w:t>Simulinku</w:t>
      </w:r>
      <w:proofErr w:type="spellEnd"/>
      <w:r>
        <w:t xml:space="preserve"> sme zostavili model vstrebávania inzulínu na základe nasledujúcich diferenciálnych rovníc.</w:t>
      </w:r>
    </w:p>
    <w:tbl>
      <w:tblPr>
        <w:tblW w:w="7377" w:type="dxa"/>
        <w:tblLayout w:type="fixed"/>
        <w:tblLook w:val="04A0" w:firstRow="1" w:lastRow="0" w:firstColumn="1" w:lastColumn="0" w:noHBand="0" w:noVBand="1"/>
      </w:tblPr>
      <w:tblGrid>
        <w:gridCol w:w="442"/>
        <w:gridCol w:w="6935"/>
      </w:tblGrid>
      <w:tr w:rsidR="004D3645" w14:paraId="39AB32BC" w14:textId="77777777" w:rsidTr="004D3645">
        <w:trPr>
          <w:trHeight w:val="398"/>
        </w:trPr>
        <w:tc>
          <w:tcPr>
            <w:tcW w:w="442" w:type="dxa"/>
          </w:tcPr>
          <w:p w14:paraId="209E2BFF" w14:textId="77777777" w:rsidR="004D3645" w:rsidRDefault="004D3645" w:rsidP="004D36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rPr>
                <w:color w:val="000000"/>
              </w:rPr>
            </w:pPr>
          </w:p>
        </w:tc>
        <w:tc>
          <w:tcPr>
            <w:tcW w:w="6935" w:type="dxa"/>
          </w:tcPr>
          <w:p w14:paraId="6F0A8B35" w14:textId="77777777" w:rsidR="004D3645" w:rsidRPr="004D3645" w:rsidRDefault="004D3645" w:rsidP="00224153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+v(t</m:t>
                </m:r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)</m:t>
                </m:r>
              </m:oMath>
            </m:oMathPara>
          </w:p>
        </w:tc>
      </w:tr>
      <w:tr w:rsidR="004D3645" w14:paraId="2D4AAB93" w14:textId="77777777" w:rsidTr="004D3645">
        <w:trPr>
          <w:trHeight w:val="398"/>
        </w:trPr>
        <w:tc>
          <w:tcPr>
            <w:tcW w:w="442" w:type="dxa"/>
          </w:tcPr>
          <w:p w14:paraId="77C61696" w14:textId="77777777" w:rsidR="004D3645" w:rsidRDefault="004D3645" w:rsidP="00494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jc w:val="center"/>
              <w:rPr>
                <w:color w:val="000000"/>
              </w:rPr>
            </w:pPr>
          </w:p>
        </w:tc>
        <w:tc>
          <w:tcPr>
            <w:tcW w:w="6935" w:type="dxa"/>
          </w:tcPr>
          <w:p w14:paraId="055D637E" w14:textId="77777777" w:rsidR="004D3645" w:rsidRPr="00224153" w:rsidRDefault="004D3645" w:rsidP="00494BF7">
            <w:pPr>
              <w:jc w:val="center"/>
              <w:rPr>
                <w:rFonts w:ascii="Cambria Math" w:eastAsia="Cambria Math" w:hAnsi="Cambria Math" w:cs="Cambria Math"/>
                <w:color w:val="00000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(t)</m:t>
                </m:r>
              </m:oMath>
            </m:oMathPara>
          </w:p>
        </w:tc>
      </w:tr>
      <w:tr w:rsidR="004D3645" w14:paraId="208E05EB" w14:textId="77777777" w:rsidTr="004D3645">
        <w:trPr>
          <w:trHeight w:val="398"/>
        </w:trPr>
        <w:tc>
          <w:tcPr>
            <w:tcW w:w="442" w:type="dxa"/>
          </w:tcPr>
          <w:p w14:paraId="24A4FDB2" w14:textId="77777777" w:rsidR="004D3645" w:rsidRDefault="004D3645" w:rsidP="00494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jc w:val="center"/>
              <w:rPr>
                <w:color w:val="000000"/>
              </w:rPr>
            </w:pPr>
          </w:p>
        </w:tc>
        <w:tc>
          <w:tcPr>
            <w:tcW w:w="6935" w:type="dxa"/>
          </w:tcPr>
          <w:p w14:paraId="68A56097" w14:textId="77777777" w:rsidR="004D3645" w:rsidRPr="00224153" w:rsidRDefault="004D3645" w:rsidP="00224153">
            <w:pPr>
              <w:jc w:val="center"/>
              <w:rPr>
                <w:rFonts w:ascii="Cambria Math" w:eastAsia="Cambria Math" w:hAnsi="Cambria Math" w:cs="Cambria Math"/>
                <w:color w:val="000000"/>
                <w:lang w:val="en-US"/>
                <w:oMath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(t)</m:t>
                </m:r>
              </m:oMath>
            </m:oMathPara>
          </w:p>
        </w:tc>
      </w:tr>
    </w:tbl>
    <w:p w14:paraId="0385D8C6" w14:textId="77777777" w:rsidR="000528D3" w:rsidRDefault="000528D3" w:rsidP="003473B2"/>
    <w:p w14:paraId="7F96E90C" w14:textId="6CB1E824" w:rsidR="000528D3" w:rsidRDefault="00527062" w:rsidP="00527062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Pričom</w:t>
      </w:r>
      <w:r w:rsidR="009A3C7E">
        <w:rPr>
          <w:rFonts w:eastAsiaTheme="minorHAnsi"/>
          <w:lang w:eastAsia="en-US"/>
        </w:rPr>
        <w:t xml:space="preserve"> </w:t>
      </w:r>
      <w:r w:rsidR="009A3C7E">
        <w:rPr>
          <w:rFonts w:ascii="LMMathItalic10-Regular" w:eastAsiaTheme="minorHAnsi" w:hAnsi="LMMathItalic10-Regular" w:cs="LMMathItalic10-Regular"/>
          <w:i/>
          <w:iCs/>
          <w:lang w:eastAsia="en-US"/>
        </w:rPr>
        <w:t>v</w:t>
      </w:r>
      <w:r w:rsidR="009A3C7E">
        <w:rPr>
          <w:rFonts w:eastAsiaTheme="minorHAnsi"/>
          <w:lang w:eastAsia="en-US"/>
        </w:rPr>
        <w:t>(</w:t>
      </w:r>
      <w:r w:rsidR="009A3C7E">
        <w:rPr>
          <w:rFonts w:ascii="LMMathItalic10-Regular" w:eastAsiaTheme="minorHAnsi" w:hAnsi="LMMathItalic10-Regular" w:cs="LMMathItalic10-Regular"/>
          <w:i/>
          <w:iCs/>
          <w:lang w:eastAsia="en-US"/>
        </w:rPr>
        <w:t>t</w:t>
      </w:r>
      <w:r w:rsidR="009A3C7E">
        <w:rPr>
          <w:rFonts w:eastAsiaTheme="minorHAnsi"/>
          <w:lang w:eastAsia="en-US"/>
        </w:rPr>
        <w:t>) [</w:t>
      </w:r>
      <w:r w:rsidR="009A3C7E" w:rsidRPr="008F0CAB">
        <w:rPr>
          <w:rFonts w:ascii="LMMathItalic10-Regular" w:eastAsiaTheme="minorHAnsi" w:hAnsi="LMMathItalic10-Regular" w:cs="LMMathItalic10-Regular"/>
          <w:i/>
          <w:iCs/>
          <w:lang w:eastAsia="en-US"/>
        </w:rPr>
        <w:t>μ</w:t>
      </w:r>
      <w:r w:rsidR="009A3C7E" w:rsidRPr="008F0CAB">
        <w:rPr>
          <w:rFonts w:eastAsiaTheme="minorHAnsi"/>
          <w:i/>
          <w:lang w:eastAsia="en-US"/>
        </w:rPr>
        <w:t>U/kg/min</w:t>
      </w:r>
      <w:r w:rsidR="009A3C7E">
        <w:rPr>
          <w:rFonts w:eastAsiaTheme="minorHAnsi"/>
          <w:lang w:eastAsia="en-US"/>
        </w:rPr>
        <w:t>] je rýchlosť podávania inzulínu do podkožia</w:t>
      </w:r>
      <w:r>
        <w:rPr>
          <w:rFonts w:eastAsiaTheme="minorHAnsi"/>
          <w:lang w:eastAsia="en-US"/>
        </w:rPr>
        <w:t>.</w:t>
      </w:r>
    </w:p>
    <w:p w14:paraId="5B775D1B" w14:textId="77777777" w:rsidR="008F0CAB" w:rsidRDefault="008F0CAB" w:rsidP="009A3C7E">
      <w:pPr>
        <w:rPr>
          <w:lang w:val="en-US"/>
        </w:rPr>
      </w:pPr>
    </w:p>
    <w:p w14:paraId="0D3BB672" w14:textId="77777777" w:rsidR="000528D3" w:rsidRDefault="008F0CAB" w:rsidP="003473B2">
      <w:pPr>
        <w:pStyle w:val="Heading2"/>
      </w:pPr>
      <w:bookmarkStart w:id="8" w:name="_Toc149501731"/>
      <w:r w:rsidRPr="008F0CAB">
        <w:t>Simulačná</w:t>
      </w:r>
      <w:r>
        <w:t xml:space="preserve"> schéma</w:t>
      </w:r>
      <w:bookmarkEnd w:id="8"/>
      <w:r>
        <w:t xml:space="preserve"> </w:t>
      </w:r>
    </w:p>
    <w:p w14:paraId="22163FD7" w14:textId="77777777" w:rsidR="003046B3" w:rsidRPr="003046B3" w:rsidRDefault="003046B3" w:rsidP="003046B3"/>
    <w:p w14:paraId="4A9BE9EE" w14:textId="12C9379B" w:rsidR="000B05CD" w:rsidRDefault="000E40AB" w:rsidP="006876C8">
      <w:pPr>
        <w:pStyle w:val="Obrazok-popis"/>
      </w:pPr>
      <w:r w:rsidRPr="000E40AB">
        <w:drawing>
          <wp:inline distT="0" distB="0" distL="0" distR="0" wp14:anchorId="4C66E0B1" wp14:editId="21C6C6A9">
            <wp:extent cx="5048955" cy="4363059"/>
            <wp:effectExtent l="0" t="0" r="0" b="0"/>
            <wp:docPr id="1279795197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95197" name="Picture 1" descr="A diagram of a mach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2C98" w14:textId="3AC3336F" w:rsidR="000528D3" w:rsidRDefault="000B05CD" w:rsidP="000B05CD">
      <w:pPr>
        <w:pStyle w:val="Obrazok-popis"/>
      </w:pPr>
      <w:r>
        <w:t xml:space="preserve">Obr. </w:t>
      </w:r>
      <w:fldSimple w:instr=" SEQ Obr. \* ARABIC ">
        <w:r w:rsidR="00BC0866">
          <w:rPr>
            <w:noProof/>
          </w:rPr>
          <w:t>2</w:t>
        </w:r>
      </w:fldSimple>
      <w:r>
        <w:t>. Simulačná schéma podsystému vstrebávani</w:t>
      </w:r>
      <w:r w:rsidR="009A280B">
        <w:t>a</w:t>
      </w:r>
      <w:r>
        <w:t xml:space="preserve"> inzulínu</w:t>
      </w:r>
    </w:p>
    <w:p w14:paraId="46D2E021" w14:textId="77777777" w:rsidR="002C2E8E" w:rsidRPr="002C2E8E" w:rsidRDefault="002C2E8E" w:rsidP="002C2E8E"/>
    <w:p w14:paraId="365991C1" w14:textId="2164B8B6" w:rsidR="002C2E8E" w:rsidRDefault="002C2E8E" w:rsidP="000F0AA4">
      <w:pPr>
        <w:pStyle w:val="Heading2"/>
      </w:pPr>
      <w:bookmarkStart w:id="9" w:name="_Toc149501732"/>
      <w:r>
        <w:t>Identifikácia neznámych parametrov</w:t>
      </w:r>
      <w:bookmarkEnd w:id="9"/>
    </w:p>
    <w:p w14:paraId="043C2FB5" w14:textId="5E09BB0C" w:rsidR="000F0AA4" w:rsidRDefault="000F0AA4" w:rsidP="000F0AA4">
      <w:r>
        <w:t>Pri identifikácií parametrov systému sme začali s parametrami ktoré vychádzajú z merania a poskytnutých dát. Zvyšné parametre sme následne identifikovali genetickým algoritmom.</w:t>
      </w:r>
    </w:p>
    <w:p w14:paraId="536305CC" w14:textId="30559389" w:rsidR="00884D6B" w:rsidRPr="008F089A" w:rsidRDefault="00654A2A" w:rsidP="006876C8">
      <w:r>
        <w:t>Bazálna</w:t>
      </w:r>
      <w:r w:rsidR="000F0AA4">
        <w:t xml:space="preserve"> hodnota </w:t>
      </w:r>
      <w:r w:rsidR="008F089A">
        <w:t xml:space="preserve">koncentrácie inzulínu </w:t>
      </w:r>
      <w:r w:rsidR="006876C8">
        <w:rPr>
          <w:rFonts w:eastAsiaTheme="minorHAnsi"/>
          <w:lang w:eastAsia="en-US"/>
        </w:rPr>
        <w:t>je 6,5 [</w:t>
      </w:r>
      <w:proofErr w:type="spellStart"/>
      <w:r w:rsidR="006876C8" w:rsidRPr="00267CAF">
        <w:rPr>
          <w:rFonts w:ascii="LMMathItalic10-Regular" w:eastAsiaTheme="minorHAnsi" w:hAnsi="LMMathItalic10-Regular" w:cs="LMMathItalic10-Regular"/>
          <w:i/>
          <w:iCs/>
          <w:lang w:eastAsia="en-US"/>
        </w:rPr>
        <w:t>μ</w:t>
      </w:r>
      <w:r w:rsidR="006876C8" w:rsidRPr="00267CAF">
        <w:rPr>
          <w:rFonts w:eastAsiaTheme="minorHAnsi"/>
          <w:i/>
          <w:lang w:eastAsia="en-US"/>
        </w:rPr>
        <w:t>U</w:t>
      </w:r>
      <w:proofErr w:type="spellEnd"/>
      <w:r w:rsidR="006876C8" w:rsidRPr="00267CAF">
        <w:rPr>
          <w:rFonts w:eastAsiaTheme="minorHAnsi"/>
          <w:i/>
          <w:lang w:eastAsia="en-US"/>
        </w:rPr>
        <w:t>/ml</w:t>
      </w:r>
      <w:r w:rsidR="006876C8">
        <w:rPr>
          <w:rFonts w:eastAsiaTheme="minorHAnsi"/>
          <w:lang w:eastAsia="en-US"/>
        </w:rPr>
        <w:t>]. Dáta boli získané technikou euglykemický</w:t>
      </w:r>
      <w:r w:rsidR="005608B9">
        <w:rPr>
          <w:rFonts w:eastAsiaTheme="minorHAnsi"/>
          <w:lang w:eastAsia="en-US"/>
        </w:rPr>
        <w:t xml:space="preserve"> </w:t>
      </w:r>
      <w:r w:rsidR="006876C8">
        <w:rPr>
          <w:rFonts w:eastAsiaTheme="minorHAnsi"/>
          <w:lang w:eastAsia="en-US"/>
        </w:rPr>
        <w:t xml:space="preserve">clamp </w:t>
      </w:r>
      <w:r w:rsidR="00267CAF">
        <w:rPr>
          <w:rFonts w:eastAsiaTheme="minorHAnsi"/>
          <w:lang w:eastAsia="en-US"/>
        </w:rPr>
        <w:t>pričom</w:t>
      </w:r>
      <w:r w:rsidR="006876C8">
        <w:rPr>
          <w:rFonts w:eastAsiaTheme="minorHAnsi"/>
          <w:lang w:eastAsia="en-US"/>
        </w:rPr>
        <w:t xml:space="preserve"> bol podaný bolus 0,2 [</w:t>
      </w:r>
      <w:r w:rsidR="006876C8" w:rsidRPr="00267CAF">
        <w:rPr>
          <w:rFonts w:eastAsiaTheme="minorHAnsi"/>
          <w:i/>
          <w:lang w:eastAsia="en-US"/>
        </w:rPr>
        <w:t>U/kg</w:t>
      </w:r>
      <w:r w:rsidR="006876C8">
        <w:rPr>
          <w:rFonts w:eastAsiaTheme="minorHAnsi"/>
          <w:lang w:eastAsia="en-US"/>
        </w:rPr>
        <w:t>] podk</w:t>
      </w:r>
      <w:r w:rsidR="00267CAF">
        <w:rPr>
          <w:rFonts w:eastAsiaTheme="minorHAnsi"/>
          <w:lang w:eastAsia="en-US"/>
        </w:rPr>
        <w:t xml:space="preserve">ožne do abdominálnej steny. </w:t>
      </w:r>
      <w:r w:rsidR="006876C8">
        <w:rPr>
          <w:rFonts w:eastAsiaTheme="minorHAnsi"/>
          <w:lang w:eastAsia="en-US"/>
        </w:rPr>
        <w:t xml:space="preserve">V tomto prípade bolus zodpovedá 12,88 [U], teda </w:t>
      </w:r>
      <w:r w:rsidR="00267CAF">
        <w:rPr>
          <w:rFonts w:eastAsiaTheme="minorHAnsi"/>
        </w:rPr>
        <w:t>v</w:t>
      </w:r>
      <w:r w:rsidR="00267CAF">
        <w:rPr>
          <w:rFonts w:eastAsiaTheme="minorHAnsi"/>
          <w:vertAlign w:val="subscript"/>
        </w:rPr>
        <w:t>B</w:t>
      </w:r>
      <w:r w:rsidR="006876C8" w:rsidRPr="00267CAF">
        <w:rPr>
          <w:rFonts w:eastAsiaTheme="minorHAnsi"/>
        </w:rPr>
        <w:t>(t) = 40000</w:t>
      </w:r>
      <w:r w:rsidR="006876C8">
        <w:rPr>
          <w:rFonts w:eastAsiaTheme="minorHAnsi"/>
          <w:lang w:eastAsia="en-US"/>
        </w:rPr>
        <w:t xml:space="preserve"> [</w:t>
      </w:r>
      <w:r w:rsidR="006876C8" w:rsidRPr="00267CAF">
        <w:rPr>
          <w:rFonts w:ascii="LMMathItalic10-Regular" w:eastAsiaTheme="minorHAnsi" w:hAnsi="LMMathItalic10-Regular" w:cs="LMMathItalic10-Regular"/>
          <w:i/>
          <w:iCs/>
          <w:lang w:eastAsia="en-US"/>
        </w:rPr>
        <w:t>μ</w:t>
      </w:r>
      <w:r w:rsidR="006876C8" w:rsidRPr="00267CAF">
        <w:rPr>
          <w:rFonts w:eastAsiaTheme="minorHAnsi"/>
          <w:i/>
          <w:lang w:eastAsia="en-US"/>
        </w:rPr>
        <w:t>U/kg/min</w:t>
      </w:r>
      <w:r w:rsidR="006876C8">
        <w:rPr>
          <w:rFonts w:eastAsiaTheme="minorHAnsi"/>
          <w:lang w:eastAsia="en-US"/>
        </w:rPr>
        <w:t>]</w:t>
      </w:r>
      <w:r w:rsidR="009E6DF4" w:rsidRPr="009E6DF4">
        <w:rPr>
          <w:rFonts w:ascii="LMRoman10-Regular" w:eastAsiaTheme="minorHAnsi" w:hAnsi="LMRoman10-Regular" w:cs="LMRoman10-Regular"/>
          <w:sz w:val="20"/>
          <w:szCs w:val="20"/>
          <w:lang w:eastAsia="en-US"/>
        </w:rPr>
        <w:t xml:space="preserve"> </w:t>
      </w:r>
      <w:r w:rsidR="009E6DF4">
        <w:rPr>
          <w:rFonts w:eastAsiaTheme="minorHAnsi"/>
        </w:rPr>
        <w:t>počas</w:t>
      </w:r>
      <w:r w:rsidR="009E6DF4" w:rsidRPr="009E6DF4">
        <w:rPr>
          <w:rFonts w:eastAsiaTheme="minorHAnsi"/>
        </w:rPr>
        <w:t xml:space="preserve"> prvej periódy vzorkovania T</w:t>
      </w:r>
      <w:r w:rsidR="009E6DF4">
        <w:rPr>
          <w:rFonts w:eastAsiaTheme="minorHAnsi"/>
          <w:vertAlign w:val="subscript"/>
        </w:rPr>
        <w:t>S</w:t>
      </w:r>
      <w:r w:rsidR="009E6DF4" w:rsidRPr="009E6DF4">
        <w:rPr>
          <w:rFonts w:eastAsiaTheme="minorHAnsi"/>
        </w:rPr>
        <w:t>, ke</w:t>
      </w:r>
      <w:r w:rsidR="009E6DF4">
        <w:rPr>
          <w:rFonts w:eastAsiaTheme="minorHAnsi"/>
        </w:rPr>
        <w:t>ď</w:t>
      </w:r>
      <w:r w:rsidR="009E6DF4" w:rsidRPr="009E6DF4">
        <w:rPr>
          <w:rFonts w:eastAsiaTheme="minorHAnsi"/>
        </w:rPr>
        <w:t xml:space="preserve"> T</w:t>
      </w:r>
      <w:r w:rsidR="009E6DF4" w:rsidRPr="009E6DF4">
        <w:rPr>
          <w:rFonts w:eastAsiaTheme="minorHAnsi"/>
          <w:vertAlign w:val="subscript"/>
        </w:rPr>
        <w:t>S</w:t>
      </w:r>
      <w:r w:rsidR="009E6DF4" w:rsidRPr="009E6DF4">
        <w:rPr>
          <w:rFonts w:eastAsiaTheme="minorHAnsi"/>
        </w:rPr>
        <w:t xml:space="preserve"> = 5 [min] a v inom </w:t>
      </w:r>
      <w:r w:rsidR="009E6DF4">
        <w:rPr>
          <w:rFonts w:eastAsiaTheme="minorHAnsi"/>
        </w:rPr>
        <w:t>čase</w:t>
      </w:r>
      <w:r w:rsidR="009E6DF4" w:rsidRPr="009E6DF4">
        <w:rPr>
          <w:rFonts w:eastAsiaTheme="minorHAnsi"/>
        </w:rPr>
        <w:t xml:space="preserve"> </w:t>
      </w:r>
      <w:proofErr w:type="spellStart"/>
      <w:r w:rsidR="009E6DF4" w:rsidRPr="009E6DF4">
        <w:rPr>
          <w:rFonts w:eastAsiaTheme="minorHAnsi"/>
        </w:rPr>
        <w:t>v</w:t>
      </w:r>
      <w:r w:rsidR="009E6DF4" w:rsidRPr="009E6DF4">
        <w:rPr>
          <w:rFonts w:eastAsiaTheme="minorHAnsi"/>
          <w:vertAlign w:val="subscript"/>
        </w:rPr>
        <w:t>B</w:t>
      </w:r>
      <w:proofErr w:type="spellEnd"/>
      <w:r w:rsidR="009E6DF4" w:rsidRPr="009E6DF4">
        <w:rPr>
          <w:rFonts w:eastAsiaTheme="minorHAnsi"/>
        </w:rPr>
        <w:t>(t) = 0</w:t>
      </w:r>
      <w:r w:rsidR="009E6DF4">
        <w:rPr>
          <w:rFonts w:eastAsiaTheme="minorHAnsi"/>
        </w:rPr>
        <w:t>.</w:t>
      </w:r>
      <w:r w:rsidR="002C2E8E">
        <w:rPr>
          <w:rFonts w:eastAsiaTheme="minorHAnsi"/>
        </w:rPr>
        <w:t xml:space="preserve"> </w:t>
      </w:r>
    </w:p>
    <w:p w14:paraId="18E23D2D" w14:textId="77777777" w:rsidR="003F1B05" w:rsidRDefault="00930795" w:rsidP="003F1B0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r w:rsidR="003F1B05">
        <w:rPr>
          <w:rFonts w:eastAsiaTheme="minorHAnsi"/>
          <w:lang w:eastAsia="en-US"/>
        </w:rPr>
        <w:t>Priemerná rýchlosť podávania bazálneho inzulínu je známa zo záznamov inzulínovej</w:t>
      </w:r>
    </w:p>
    <w:p w14:paraId="3A51A790" w14:textId="77777777" w:rsidR="003F1B05" w:rsidRDefault="003F1B05" w:rsidP="003F1B0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pumpy subjektu. Priemer je 1,09 [U/h] čo zodpovedá </w:t>
      </w:r>
      <w:r w:rsidRPr="005B4C5C">
        <w:rPr>
          <w:rFonts w:eastAsiaTheme="minorHAnsi"/>
        </w:rPr>
        <w:t>v</w:t>
      </w:r>
      <w:r w:rsidRPr="005B4C5C">
        <w:rPr>
          <w:rFonts w:eastAsiaTheme="minorHAnsi"/>
          <w:vertAlign w:val="subscript"/>
        </w:rPr>
        <w:t>b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 w:rsidRPr="005B4C5C">
        <w:rPr>
          <w:rFonts w:eastAsiaTheme="minorHAnsi"/>
        </w:rPr>
        <w:t>= 281, 218</w:t>
      </w:r>
      <w:r w:rsidR="005B4C5C">
        <w:rPr>
          <w:rFonts w:eastAsiaTheme="minorHAnsi"/>
          <w:lang w:eastAsia="en-US"/>
        </w:rPr>
        <w:t xml:space="preserve"> </w:t>
      </w:r>
      <w:r w:rsidR="005B4C5C">
        <w:rPr>
          <w:rFonts w:eastAsiaTheme="minorHAnsi"/>
          <w:lang w:val="en-US" w:eastAsia="en-US"/>
        </w:rPr>
        <w:t>[</w:t>
      </w:r>
      <w:r w:rsidRPr="005B4C5C">
        <w:rPr>
          <w:rFonts w:eastAsiaTheme="minorHAnsi"/>
          <w:i/>
        </w:rPr>
        <w:t>μU/kg/min</w:t>
      </w:r>
      <w:r w:rsidR="005B4C5C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>, kde</w:t>
      </w:r>
    </w:p>
    <w:p w14:paraId="69960C56" w14:textId="23E1D593" w:rsidR="00930795" w:rsidRPr="00D62009" w:rsidRDefault="003F1B05" w:rsidP="003F1B05">
      <w:pPr>
        <w:rPr>
          <w:rFonts w:eastAsiaTheme="minorHAnsi"/>
          <w:b/>
          <w:lang w:val="en-US" w:eastAsia="en-US"/>
        </w:rPr>
      </w:pPr>
      <w:r>
        <w:rPr>
          <w:rFonts w:eastAsiaTheme="minorHAnsi"/>
          <w:lang w:eastAsia="en-US"/>
        </w:rPr>
        <w:t xml:space="preserve">index </w:t>
      </w:r>
      <w:r w:rsidRPr="003F1B05">
        <w:rPr>
          <w:rFonts w:eastAsiaTheme="minorHAnsi"/>
          <w:vertAlign w:val="subscript"/>
        </w:rPr>
        <w:t>b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označuje bazálnu rýchlosť.</w:t>
      </w:r>
      <w:r w:rsidR="0055734D">
        <w:rPr>
          <w:rFonts w:eastAsiaTheme="minorHAnsi"/>
          <w:lang w:eastAsia="en-US"/>
        </w:rPr>
        <w:t xml:space="preserve"> Z </w:t>
      </w:r>
      <w:r w:rsidR="004B46EC">
        <w:rPr>
          <w:rFonts w:eastAsiaTheme="minorHAnsi"/>
          <w:lang w:eastAsia="en-US"/>
        </w:rPr>
        <w:t>diferenciálnych</w:t>
      </w:r>
      <w:r w:rsidR="0055734D">
        <w:rPr>
          <w:rFonts w:eastAsiaTheme="minorHAnsi"/>
          <w:lang w:eastAsia="en-US"/>
        </w:rPr>
        <w:t xml:space="preserve"> rovníc sme si vyjadrili začiatočné hodnoty integrátorov: S</w:t>
      </w:r>
      <w:r w:rsidR="0055734D" w:rsidRPr="00A75760">
        <w:rPr>
          <w:rFonts w:eastAsiaTheme="minorHAnsi"/>
          <w:vertAlign w:val="subscript"/>
          <w:lang w:eastAsia="en-US"/>
        </w:rPr>
        <w:t>1</w:t>
      </w:r>
      <w:r w:rsidR="0055734D">
        <w:rPr>
          <w:rFonts w:eastAsiaTheme="minorHAnsi"/>
          <w:lang w:eastAsia="en-US"/>
        </w:rPr>
        <w:t>(0) = Ti*</w:t>
      </w:r>
      <w:proofErr w:type="spellStart"/>
      <w:r w:rsidR="0055734D">
        <w:rPr>
          <w:rFonts w:eastAsiaTheme="minorHAnsi"/>
          <w:lang w:eastAsia="en-US"/>
        </w:rPr>
        <w:t>v</w:t>
      </w:r>
      <w:r w:rsidR="0055734D" w:rsidRPr="00A75760">
        <w:rPr>
          <w:rFonts w:eastAsiaTheme="minorHAnsi"/>
          <w:vertAlign w:val="subscript"/>
          <w:lang w:eastAsia="en-US"/>
        </w:rPr>
        <w:t>b</w:t>
      </w:r>
      <w:proofErr w:type="spellEnd"/>
      <w:r w:rsidR="0055734D">
        <w:rPr>
          <w:rFonts w:eastAsiaTheme="minorHAnsi"/>
          <w:lang w:eastAsia="en-US"/>
        </w:rPr>
        <w:t>, S</w:t>
      </w:r>
      <w:r w:rsidR="0055734D" w:rsidRPr="00A75760">
        <w:rPr>
          <w:rFonts w:eastAsiaTheme="minorHAnsi"/>
          <w:vertAlign w:val="subscript"/>
          <w:lang w:eastAsia="en-US"/>
        </w:rPr>
        <w:t>2</w:t>
      </w:r>
      <w:r w:rsidR="0055734D">
        <w:rPr>
          <w:rFonts w:eastAsiaTheme="minorHAnsi"/>
          <w:lang w:eastAsia="en-US"/>
        </w:rPr>
        <w:t>(0) = Ti*</w:t>
      </w:r>
      <w:proofErr w:type="spellStart"/>
      <w:r w:rsidR="0055734D">
        <w:rPr>
          <w:rFonts w:eastAsiaTheme="minorHAnsi"/>
          <w:lang w:eastAsia="en-US"/>
        </w:rPr>
        <w:t>v</w:t>
      </w:r>
      <w:r w:rsidR="0055734D" w:rsidRPr="00A75760">
        <w:rPr>
          <w:rFonts w:eastAsiaTheme="minorHAnsi"/>
          <w:vertAlign w:val="subscript"/>
          <w:lang w:eastAsia="en-US"/>
        </w:rPr>
        <w:t>b</w:t>
      </w:r>
      <w:proofErr w:type="spellEnd"/>
      <w:r w:rsidR="0055734D">
        <w:rPr>
          <w:rFonts w:eastAsiaTheme="minorHAnsi"/>
          <w:lang w:eastAsia="en-US"/>
        </w:rPr>
        <w:t xml:space="preserve">, I(0) =  </w:t>
      </w:r>
      <w:proofErr w:type="spellStart"/>
      <w:r w:rsidR="0055734D" w:rsidRPr="0055734D">
        <w:rPr>
          <w:rFonts w:eastAsiaTheme="minorHAnsi"/>
          <w:lang w:eastAsia="en-US"/>
        </w:rPr>
        <w:t>v</w:t>
      </w:r>
      <w:r w:rsidR="0055734D" w:rsidRPr="00A75760">
        <w:rPr>
          <w:rFonts w:eastAsiaTheme="minorHAnsi"/>
          <w:vertAlign w:val="subscript"/>
          <w:lang w:eastAsia="en-US"/>
        </w:rPr>
        <w:t>b</w:t>
      </w:r>
      <w:proofErr w:type="spellEnd"/>
      <w:r w:rsidR="0055734D" w:rsidRPr="0055734D">
        <w:rPr>
          <w:rFonts w:eastAsiaTheme="minorHAnsi"/>
          <w:lang w:eastAsia="en-US"/>
        </w:rPr>
        <w:t>/(Vi*</w:t>
      </w:r>
      <w:proofErr w:type="spellStart"/>
      <w:r w:rsidR="0055734D" w:rsidRPr="0055734D">
        <w:rPr>
          <w:rFonts w:eastAsiaTheme="minorHAnsi"/>
          <w:lang w:eastAsia="en-US"/>
        </w:rPr>
        <w:t>ki</w:t>
      </w:r>
      <w:proofErr w:type="spellEnd"/>
      <w:r w:rsidR="0055734D" w:rsidRPr="0055734D">
        <w:rPr>
          <w:rFonts w:eastAsiaTheme="minorHAnsi"/>
          <w:lang w:eastAsia="en-US"/>
        </w:rPr>
        <w:t>)</w:t>
      </w:r>
    </w:p>
    <w:p w14:paraId="04ED9EB1" w14:textId="062E9B91" w:rsidR="00A63CFE" w:rsidRDefault="00FF7B17" w:rsidP="003473B2">
      <w:r>
        <w:tab/>
      </w:r>
      <w:r w:rsidR="008F089A">
        <w:rPr>
          <w:rFonts w:eastAsiaTheme="minorHAnsi"/>
          <w:lang w:eastAsia="en-US"/>
        </w:rPr>
        <w:t xml:space="preserve">Z tohto </w:t>
      </w:r>
      <w:r w:rsidR="0044499A">
        <w:rPr>
          <w:rFonts w:eastAsiaTheme="minorHAnsi"/>
          <w:lang w:eastAsia="en-US"/>
        </w:rPr>
        <w:t>vyplýva</w:t>
      </w:r>
      <w:r w:rsidR="008F089A">
        <w:rPr>
          <w:rFonts w:eastAsiaTheme="minorHAnsi"/>
          <w:lang w:eastAsia="en-US"/>
        </w:rPr>
        <w:t xml:space="preserve"> </w:t>
      </w:r>
      <w:r w:rsidR="0044499A">
        <w:rPr>
          <w:rFonts w:eastAsiaTheme="minorHAnsi"/>
          <w:lang w:eastAsia="en-US"/>
        </w:rPr>
        <w:t>že</w:t>
      </w:r>
      <w:r w:rsidR="008F089A">
        <w:rPr>
          <w:rFonts w:eastAsiaTheme="minorHAnsi"/>
          <w:lang w:eastAsia="en-US"/>
        </w:rPr>
        <w:t xml:space="preserve"> parametre Ti</w:t>
      </w:r>
      <w:r w:rsidR="00654A2A">
        <w:rPr>
          <w:rFonts w:eastAsiaTheme="minorHAnsi"/>
          <w:lang w:eastAsia="en-US"/>
        </w:rPr>
        <w:t>,</w:t>
      </w:r>
      <w:r w:rsidR="008F089A">
        <w:rPr>
          <w:rFonts w:eastAsiaTheme="minorHAnsi"/>
          <w:lang w:eastAsia="en-US"/>
        </w:rPr>
        <w:t xml:space="preserve"> </w:t>
      </w:r>
      <w:r w:rsidR="0044499A">
        <w:rPr>
          <w:rFonts w:eastAsiaTheme="minorHAnsi"/>
          <w:lang w:eastAsia="en-US"/>
        </w:rPr>
        <w:t>T</w:t>
      </w:r>
      <w:r w:rsidR="008F089A">
        <w:rPr>
          <w:rFonts w:eastAsiaTheme="minorHAnsi"/>
          <w:lang w:eastAsia="en-US"/>
        </w:rPr>
        <w:t>i</w:t>
      </w:r>
      <w:r w:rsidR="00654A2A">
        <w:rPr>
          <w:rFonts w:eastAsiaTheme="minorHAnsi"/>
          <w:lang w:eastAsia="en-US"/>
        </w:rPr>
        <w:t>,</w:t>
      </w:r>
      <w:r w:rsidR="008F089A">
        <w:rPr>
          <w:rFonts w:eastAsiaTheme="minorHAnsi"/>
          <w:lang w:eastAsia="en-US"/>
        </w:rPr>
        <w:t xml:space="preserve"> Vi sú neznáme a budeme ich musieť identifikovať tak aby model kopíroval dáta FK s najmenšou </w:t>
      </w:r>
      <w:r w:rsidR="0044499A">
        <w:rPr>
          <w:rFonts w:eastAsiaTheme="minorHAnsi"/>
          <w:lang w:eastAsia="en-US"/>
        </w:rPr>
        <w:t>odchýlkou</w:t>
      </w:r>
      <w:r w:rsidR="008F089A">
        <w:rPr>
          <w:rFonts w:eastAsiaTheme="minorHAnsi"/>
          <w:lang w:eastAsia="en-US"/>
        </w:rPr>
        <w:t>.</w:t>
      </w:r>
      <w:r w:rsidR="00413F2B">
        <w:t xml:space="preserve"> </w:t>
      </w:r>
    </w:p>
    <w:p w14:paraId="7B0010FA" w14:textId="7E8AF64E" w:rsidR="003066D6" w:rsidRDefault="00021A04" w:rsidP="00FA7C65">
      <w:pPr>
        <w:ind w:firstLine="708"/>
      </w:pPr>
      <w:r>
        <w:t xml:space="preserve">Pre identifikovanie neznámych parametrov sme použili genetický algoritmus s 56 jedincami s 21 generáciami. Zvolili sme fitness funkciu ako sumu kvadrátov </w:t>
      </w:r>
      <w:r w:rsidR="00A5105A">
        <w:t>odchýlky</w:t>
      </w:r>
      <w:r>
        <w:t xml:space="preserve"> PK a výstupu z modelu I.</w:t>
      </w:r>
      <w:r w:rsidR="00A5105A">
        <w:t xml:space="preserve"> Simulačnú časť fitness sme paralelizovali pre zníženie časovej náročnosti identifikácie.</w:t>
      </w:r>
      <w:r w:rsidR="00654A2A">
        <w:t xml:space="preserve"> Skripty s identifikáciou parametrov sme priložili do prílohy.</w:t>
      </w:r>
    </w:p>
    <w:p w14:paraId="4C983C88" w14:textId="37F88825" w:rsidR="000528D3" w:rsidRDefault="003066D6" w:rsidP="00A3398A">
      <w:pPr>
        <w:rPr>
          <w:lang w:val="en-US"/>
        </w:rPr>
      </w:pPr>
      <w:r>
        <w:tab/>
      </w:r>
      <w:r w:rsidR="00654A2A">
        <w:t>Možno pozorovať postupnú konvergenciu hodnoty fitness čo je pre nás ukazovateľ identifikácie parametrov.</w:t>
      </w:r>
    </w:p>
    <w:p w14:paraId="07571509" w14:textId="77777777" w:rsidR="00143541" w:rsidRDefault="00143541" w:rsidP="00A3398A">
      <w:pPr>
        <w:rPr>
          <w:lang w:val="en-US"/>
        </w:rPr>
      </w:pPr>
    </w:p>
    <w:p w14:paraId="32CEB5C4" w14:textId="541F36CF" w:rsidR="00143541" w:rsidRDefault="00654A2A" w:rsidP="00143541">
      <w:pPr>
        <w:pStyle w:val="Obrazok-popis"/>
        <w:keepNext/>
      </w:pPr>
      <w:r w:rsidRPr="00654A2A">
        <w:drawing>
          <wp:inline distT="0" distB="0" distL="0" distR="0" wp14:anchorId="4C867B04" wp14:editId="5E2A1DCC">
            <wp:extent cx="5010849" cy="3867690"/>
            <wp:effectExtent l="0" t="0" r="0" b="0"/>
            <wp:docPr id="108654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43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DC39" w14:textId="480A1F25" w:rsidR="00143541" w:rsidRDefault="00143541" w:rsidP="00143541">
      <w:pPr>
        <w:pStyle w:val="Obrazok-popis"/>
        <w:rPr>
          <w:lang w:val="en-US"/>
        </w:rPr>
      </w:pPr>
      <w:r>
        <w:t xml:space="preserve">Obr. </w:t>
      </w:r>
      <w:fldSimple w:instr=" SEQ Obr. \* ARABIC ">
        <w:r w:rsidR="00BC0866">
          <w:rPr>
            <w:noProof/>
          </w:rPr>
          <w:t>3</w:t>
        </w:r>
      </w:fldSimple>
      <w:r>
        <w:t>. Priebeh evolúcie</w:t>
      </w:r>
    </w:p>
    <w:p w14:paraId="44503D24" w14:textId="77777777" w:rsidR="003066D6" w:rsidRDefault="003066D6" w:rsidP="00A3398A">
      <w:pPr>
        <w:rPr>
          <w:lang w:val="en-US"/>
        </w:rPr>
      </w:pPr>
    </w:p>
    <w:p w14:paraId="55465E07" w14:textId="77777777" w:rsidR="000528D3" w:rsidRDefault="000528D3" w:rsidP="003473B2"/>
    <w:p w14:paraId="0792051E" w14:textId="1E0C4D35" w:rsidR="00163ED0" w:rsidRDefault="00BC32BA" w:rsidP="00163ED0">
      <w:pPr>
        <w:pStyle w:val="Obrazok-popis"/>
        <w:keepNext/>
      </w:pPr>
      <w:r w:rsidRPr="00BC32BA">
        <w:rPr>
          <w:lang w:val="en-US"/>
        </w:rPr>
        <w:lastRenderedPageBreak/>
        <w:drawing>
          <wp:inline distT="0" distB="0" distL="0" distR="0" wp14:anchorId="58FA9E7A" wp14:editId="219E9F50">
            <wp:extent cx="4782217" cy="3810532"/>
            <wp:effectExtent l="0" t="0" r="0" b="0"/>
            <wp:docPr id="1125472016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72016" name="Picture 1" descr="A graph with numbers and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9D2" w14:textId="2523FA6D" w:rsidR="000528D3" w:rsidRDefault="00163ED0" w:rsidP="0075260C">
      <w:pPr>
        <w:pStyle w:val="Obrazok-popis"/>
      </w:pPr>
      <w:r>
        <w:t xml:space="preserve">Obr. </w:t>
      </w:r>
      <w:fldSimple w:instr=" SEQ Obr. \* ARABIC ">
        <w:r w:rsidR="00BC0866">
          <w:rPr>
            <w:noProof/>
          </w:rPr>
          <w:t>4</w:t>
        </w:r>
      </w:fldSimple>
      <w:r>
        <w:t xml:space="preserve">. </w:t>
      </w:r>
      <w:r w:rsidR="00BC32BA">
        <w:t>Vývoj parametrov</w:t>
      </w:r>
      <w:r w:rsidR="0075260C">
        <w:t xml:space="preserve"> </w:t>
      </w:r>
    </w:p>
    <w:p w14:paraId="7914806C" w14:textId="77777777" w:rsidR="000528D3" w:rsidRDefault="000528D3" w:rsidP="003473B2"/>
    <w:p w14:paraId="228FA5D9" w14:textId="49539C98" w:rsidR="0075260C" w:rsidRDefault="0075260C" w:rsidP="001E017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Identifikované parametre sú </w:t>
      </w:r>
      <w:r w:rsidRPr="001E017F">
        <w:rPr>
          <w:rFonts w:eastAsiaTheme="minorHAnsi"/>
        </w:rPr>
        <w:t>T</w:t>
      </w:r>
      <w:r w:rsidRPr="001E017F">
        <w:rPr>
          <w:rFonts w:eastAsiaTheme="minorHAnsi"/>
          <w:vertAlign w:val="subscript"/>
        </w:rPr>
        <w:t>I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= 4</w:t>
      </w:r>
      <w:r w:rsidR="00BC32BA">
        <w:rPr>
          <w:rFonts w:eastAsiaTheme="minorHAnsi"/>
          <w:lang w:eastAsia="en-US"/>
        </w:rPr>
        <w:t>5.</w:t>
      </w:r>
      <w:r w:rsidR="00BC32BA">
        <w:rPr>
          <w:rFonts w:ascii="LMMathItalic10-Regular" w:eastAsiaTheme="minorHAnsi" w:hAnsi="LMMathItalic10-Regular" w:cs="LMMathItalic10-Regular"/>
          <w:i/>
          <w:iCs/>
          <w:lang w:eastAsia="en-US"/>
        </w:rPr>
        <w:t>383</w:t>
      </w:r>
      <w:r>
        <w:rPr>
          <w:rFonts w:eastAsiaTheme="minorHAnsi"/>
          <w:lang w:eastAsia="en-US"/>
        </w:rPr>
        <w:t xml:space="preserve"> [</w:t>
      </w:r>
      <w:r w:rsidRPr="001E017F">
        <w:rPr>
          <w:rFonts w:eastAsiaTheme="minorHAnsi"/>
          <w:i/>
          <w:lang w:eastAsia="en-US"/>
        </w:rPr>
        <w:t>min</w:t>
      </w:r>
      <w:r>
        <w:rPr>
          <w:rFonts w:eastAsiaTheme="minorHAnsi"/>
          <w:lang w:eastAsia="en-US"/>
        </w:rPr>
        <w:t xml:space="preserve">], </w:t>
      </w:r>
      <w:proofErr w:type="spellStart"/>
      <w:r w:rsidRPr="001E017F">
        <w:rPr>
          <w:rFonts w:eastAsiaTheme="minorHAnsi"/>
        </w:rPr>
        <w:t>k</w:t>
      </w:r>
      <w:r w:rsidRPr="001E017F">
        <w:rPr>
          <w:rFonts w:eastAsiaTheme="minorHAnsi"/>
          <w:vertAlign w:val="subscript"/>
        </w:rPr>
        <w:t>I</w:t>
      </w:r>
      <w:proofErr w:type="spellEnd"/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= 0</w:t>
      </w:r>
      <w:r w:rsidR="00BC32BA">
        <w:rPr>
          <w:rFonts w:eastAsiaTheme="minorHAnsi"/>
          <w:lang w:eastAsia="en-US"/>
        </w:rPr>
        <w:t>.1629</w:t>
      </w:r>
      <w:r>
        <w:rPr>
          <w:rFonts w:eastAsiaTheme="minorHAnsi"/>
          <w:lang w:eastAsia="en-US"/>
        </w:rPr>
        <w:t xml:space="preserve"> [</w:t>
      </w:r>
      <w:r w:rsidRPr="001E017F">
        <w:rPr>
          <w:rFonts w:eastAsiaTheme="minorHAnsi"/>
          <w:i/>
          <w:lang w:eastAsia="en-US"/>
        </w:rPr>
        <w:t>1/min</w:t>
      </w:r>
      <w:r>
        <w:rPr>
          <w:rFonts w:eastAsiaTheme="minorHAnsi"/>
          <w:lang w:eastAsia="en-US"/>
        </w:rPr>
        <w:t xml:space="preserve">] a </w:t>
      </w:r>
      <w:r w:rsidRPr="001E017F">
        <w:rPr>
          <w:rFonts w:eastAsiaTheme="minorHAnsi"/>
        </w:rPr>
        <w:t>V</w:t>
      </w:r>
      <w:r w:rsidRPr="001E017F">
        <w:rPr>
          <w:rFonts w:eastAsiaTheme="minorHAnsi"/>
          <w:vertAlign w:val="subscript"/>
        </w:rPr>
        <w:t>I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= </w:t>
      </w:r>
      <w:r w:rsidR="00BC32BA">
        <w:rPr>
          <w:rFonts w:eastAsiaTheme="minorHAnsi"/>
          <w:lang w:eastAsia="en-US"/>
        </w:rPr>
        <w:t>139.09</w:t>
      </w:r>
      <w:r>
        <w:rPr>
          <w:rFonts w:eastAsiaTheme="minorHAnsi"/>
          <w:lang w:eastAsia="en-US"/>
        </w:rPr>
        <w:t xml:space="preserve"> [</w:t>
      </w:r>
      <w:r w:rsidRPr="001E017F">
        <w:rPr>
          <w:rFonts w:eastAsiaTheme="minorHAnsi"/>
          <w:i/>
          <w:lang w:eastAsia="en-US"/>
        </w:rPr>
        <w:t>dl/kg</w:t>
      </w:r>
      <w:r>
        <w:rPr>
          <w:rFonts w:eastAsiaTheme="minorHAnsi"/>
          <w:lang w:eastAsia="en-US"/>
        </w:rPr>
        <w:t xml:space="preserve">]. </w:t>
      </w:r>
    </w:p>
    <w:p w14:paraId="3E027C5B" w14:textId="48C4AFF8" w:rsidR="00451198" w:rsidRDefault="00451198" w:rsidP="001E017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Následne sme porovnali </w:t>
      </w:r>
      <w:r>
        <w:t>koncentráci</w:t>
      </w:r>
      <w:r>
        <w:t>u</w:t>
      </w:r>
      <w:r>
        <w:t xml:space="preserve"> inzulínu v krvi z odmeraných dát a z identifikovaného modelu.</w:t>
      </w:r>
      <w:r>
        <w:t xml:space="preserve"> Usúdili sme že identifikovaný model sleduje namerané dáta dostatočne.</w:t>
      </w:r>
    </w:p>
    <w:p w14:paraId="735E971B" w14:textId="06E3B42B" w:rsidR="00BC32BA" w:rsidRDefault="00451198" w:rsidP="00451198">
      <w:pPr>
        <w:jc w:val="center"/>
        <w:rPr>
          <w:rFonts w:eastAsiaTheme="minorHAnsi"/>
          <w:lang w:val="en-US" w:eastAsia="en-US"/>
        </w:rPr>
      </w:pPr>
      <w:r w:rsidRPr="00451198">
        <w:rPr>
          <w:rFonts w:eastAsiaTheme="minorHAnsi"/>
          <w:lang w:val="en-US" w:eastAsia="en-US"/>
        </w:rPr>
        <w:lastRenderedPageBreak/>
        <w:drawing>
          <wp:inline distT="0" distB="0" distL="0" distR="0" wp14:anchorId="68839469" wp14:editId="1AE1623A">
            <wp:extent cx="5201376" cy="4163006"/>
            <wp:effectExtent l="0" t="0" r="0" b="9525"/>
            <wp:docPr id="43206511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5110" name="Picture 1" descr="A graph with a red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302" w14:textId="785D5975" w:rsidR="00451198" w:rsidRDefault="00451198" w:rsidP="00451198">
      <w:pPr>
        <w:pStyle w:val="Obrazok-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BC0866">
        <w:rPr>
          <w:noProof/>
        </w:rPr>
        <w:t>5</w:t>
      </w:r>
      <w:r>
        <w:fldChar w:fldCharType="end"/>
      </w:r>
      <w:r>
        <w:t xml:space="preserve">. </w:t>
      </w:r>
      <w:r>
        <w:t>Koncentrácia inzulínu v krvi z odmeraných dát a z identifikovaného modelu.</w:t>
      </w:r>
      <w:r>
        <w:t xml:space="preserve"> </w:t>
      </w:r>
    </w:p>
    <w:p w14:paraId="741FB405" w14:textId="77777777" w:rsidR="00451198" w:rsidRPr="00451198" w:rsidRDefault="00451198" w:rsidP="00451198">
      <w:pPr>
        <w:jc w:val="center"/>
        <w:rPr>
          <w:rFonts w:eastAsiaTheme="minorHAnsi"/>
          <w:lang w:val="en-US" w:eastAsia="en-US"/>
        </w:rPr>
      </w:pPr>
    </w:p>
    <w:p w14:paraId="7BDA3DFC" w14:textId="77777777" w:rsidR="000528D3" w:rsidRDefault="000528D3" w:rsidP="003473B2"/>
    <w:p w14:paraId="7E88E9AC" w14:textId="77777777" w:rsidR="000528D3" w:rsidRDefault="000528D3" w:rsidP="003473B2"/>
    <w:p w14:paraId="657978DF" w14:textId="77777777" w:rsidR="000528D3" w:rsidRDefault="000528D3" w:rsidP="003473B2"/>
    <w:p w14:paraId="001EF9ED" w14:textId="77777777" w:rsidR="000528D3" w:rsidRDefault="000528D3" w:rsidP="003473B2"/>
    <w:p w14:paraId="3F66B6B0" w14:textId="77777777" w:rsidR="000528D3" w:rsidRDefault="000528D3" w:rsidP="003473B2"/>
    <w:p w14:paraId="627B639D" w14:textId="77777777" w:rsidR="000528D3" w:rsidRDefault="000528D3" w:rsidP="003473B2"/>
    <w:p w14:paraId="32A978EB" w14:textId="77777777" w:rsidR="000528D3" w:rsidRDefault="000528D3" w:rsidP="003473B2"/>
    <w:p w14:paraId="2A90A504" w14:textId="77777777" w:rsidR="000528D3" w:rsidRDefault="000528D3" w:rsidP="003473B2"/>
    <w:p w14:paraId="0A175589" w14:textId="77777777" w:rsidR="000528D3" w:rsidRDefault="000528D3" w:rsidP="003473B2"/>
    <w:p w14:paraId="3C391C65" w14:textId="77777777" w:rsidR="000528D3" w:rsidRDefault="000528D3" w:rsidP="003473B2"/>
    <w:p w14:paraId="76032E4C" w14:textId="77777777" w:rsidR="000528D3" w:rsidRDefault="000528D3" w:rsidP="003473B2"/>
    <w:p w14:paraId="7314111E" w14:textId="77777777" w:rsidR="000528D3" w:rsidRDefault="00EA529C" w:rsidP="00683B45">
      <w:pPr>
        <w:pStyle w:val="Heading1"/>
      </w:pPr>
      <w:bookmarkStart w:id="10" w:name="_Toc149501733"/>
      <w:r>
        <w:lastRenderedPageBreak/>
        <w:t>Bergmanov minimálny model</w:t>
      </w:r>
      <w:bookmarkEnd w:id="10"/>
    </w:p>
    <w:p w14:paraId="64D8EB48" w14:textId="77777777" w:rsidR="006B3E8C" w:rsidRDefault="006B3E8C" w:rsidP="006B3E8C">
      <w:pPr>
        <w:pStyle w:val="Heading2"/>
      </w:pPr>
      <w:bookmarkStart w:id="11" w:name="_Toc149501734"/>
      <w:r>
        <w:t xml:space="preserve">Dáta </w:t>
      </w:r>
      <w:proofErr w:type="spellStart"/>
      <w:r>
        <w:t>Farmakodynamiky</w:t>
      </w:r>
      <w:bookmarkEnd w:id="11"/>
      <w:proofErr w:type="spellEnd"/>
    </w:p>
    <w:p w14:paraId="61F645D0" w14:textId="767C5C99" w:rsidR="006D1E77" w:rsidRDefault="006D1E77" w:rsidP="006D1E77">
      <w:r>
        <w:t xml:space="preserve">Dáta </w:t>
      </w:r>
      <w:proofErr w:type="spellStart"/>
      <w:r w:rsidR="006B3E8C">
        <w:t>farmakodynamiky</w:t>
      </w:r>
      <w:proofErr w:type="spellEnd"/>
      <w:r w:rsidR="006B3E8C">
        <w:t xml:space="preserve"> sme previedli z jednotiek</w:t>
      </w:r>
      <w:r>
        <w:t xml:space="preserve"> </w:t>
      </w:r>
      <w:r>
        <w:rPr>
          <w:lang w:val="en-US"/>
        </w:rPr>
        <w:t>[</w:t>
      </w:r>
      <w:r w:rsidR="00E32D5E">
        <w:rPr>
          <w:i/>
        </w:rPr>
        <w:t>mg</w:t>
      </w:r>
      <w:r w:rsidRPr="006647D1">
        <w:rPr>
          <w:i/>
        </w:rPr>
        <w:t>/</w:t>
      </w:r>
      <w:r w:rsidR="00E32D5E">
        <w:rPr>
          <w:i/>
        </w:rPr>
        <w:t>min</w:t>
      </w:r>
      <w:r>
        <w:rPr>
          <w:i/>
        </w:rPr>
        <w:t xml:space="preserve">] </w:t>
      </w:r>
      <w:r>
        <w:t xml:space="preserve"> na jednotky </w:t>
      </w:r>
      <w:r>
        <w:rPr>
          <w:lang w:val="en-US"/>
        </w:rPr>
        <w:t>[</w:t>
      </w:r>
      <w:r w:rsidR="00E32D5E">
        <w:rPr>
          <w:i/>
          <w:lang w:val="en-US"/>
        </w:rPr>
        <w:t>mg/kg</w:t>
      </w:r>
      <w:r w:rsidR="00E32D5E">
        <w:rPr>
          <w:i/>
        </w:rPr>
        <w:t>/min</w:t>
      </w:r>
      <w:r w:rsidRPr="006647D1">
        <w:t xml:space="preserve">]. </w:t>
      </w:r>
      <w:r w:rsidR="006B3E8C">
        <w:t>Prevod</w:t>
      </w:r>
      <w:r w:rsidRPr="006647D1">
        <w:t xml:space="preserve"> </w:t>
      </w:r>
      <w:r w:rsidR="006B3E8C">
        <w:t xml:space="preserve">1 </w:t>
      </w:r>
      <w:r>
        <w:rPr>
          <w:lang w:val="en-US"/>
        </w:rPr>
        <w:t>[</w:t>
      </w:r>
      <w:r w:rsidR="00E32D5E">
        <w:rPr>
          <w:i/>
        </w:rPr>
        <w:t>mg</w:t>
      </w:r>
      <w:r w:rsidRPr="006647D1">
        <w:rPr>
          <w:i/>
        </w:rPr>
        <w:t>/</w:t>
      </w:r>
      <w:r w:rsidR="00E32D5E">
        <w:rPr>
          <w:i/>
        </w:rPr>
        <w:t>min</w:t>
      </w:r>
      <w:r>
        <w:rPr>
          <w:i/>
        </w:rPr>
        <w:t xml:space="preserve">] </w:t>
      </w:r>
      <w:r>
        <w:rPr>
          <w:lang w:val="en-US"/>
        </w:rPr>
        <w:t xml:space="preserve">= </w:t>
      </w:r>
      <w:r w:rsidR="006B3E8C">
        <w:t>BW</w:t>
      </w:r>
      <w:r>
        <w:t xml:space="preserve"> </w:t>
      </w:r>
      <w:r>
        <w:rPr>
          <w:lang w:val="en-US"/>
        </w:rPr>
        <w:t>[</w:t>
      </w:r>
      <w:r w:rsidR="00E32D5E">
        <w:rPr>
          <w:i/>
          <w:lang w:val="en-US"/>
        </w:rPr>
        <w:t>mg/kg</w:t>
      </w:r>
      <w:r w:rsidR="00E32D5E">
        <w:rPr>
          <w:i/>
        </w:rPr>
        <w:t>/min</w:t>
      </w:r>
      <w:r>
        <w:rPr>
          <w:i/>
        </w:rPr>
        <w:t>]</w:t>
      </w:r>
      <w:r w:rsidR="006B3E8C">
        <w:rPr>
          <w:i/>
        </w:rPr>
        <w:t xml:space="preserve">(BW-body </w:t>
      </w:r>
      <w:proofErr w:type="spellStart"/>
      <w:r w:rsidR="006B3E8C">
        <w:rPr>
          <w:i/>
        </w:rPr>
        <w:t>weight</w:t>
      </w:r>
      <w:proofErr w:type="spellEnd"/>
      <w:r w:rsidR="006B3E8C">
        <w:rPr>
          <w:i/>
        </w:rPr>
        <w:t>).</w:t>
      </w:r>
    </w:p>
    <w:p w14:paraId="3FE12EE7" w14:textId="77777777" w:rsidR="006D1E77" w:rsidRPr="006D1E77" w:rsidRDefault="006D1E77" w:rsidP="006D1E77"/>
    <w:p w14:paraId="3CD134CD" w14:textId="79CB93CC" w:rsidR="000528CC" w:rsidRDefault="00BA3EBF" w:rsidP="000528CC">
      <w:pPr>
        <w:pStyle w:val="Obrazok-popis"/>
        <w:keepNext/>
      </w:pPr>
      <w:r w:rsidRPr="00BA3EBF">
        <w:drawing>
          <wp:inline distT="0" distB="0" distL="0" distR="0" wp14:anchorId="11F1E3F6" wp14:editId="19B8E541">
            <wp:extent cx="5760720" cy="4075430"/>
            <wp:effectExtent l="0" t="0" r="0" b="1270"/>
            <wp:docPr id="214292849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28498" name="Picture 1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70FE" w14:textId="4EFE3305" w:rsidR="00F223A3" w:rsidRPr="00B45C1A" w:rsidRDefault="000528CC" w:rsidP="00F223A3">
      <w:pPr>
        <w:pStyle w:val="Obrazok-popis"/>
      </w:pPr>
      <w:r>
        <w:t xml:space="preserve">Obr. </w:t>
      </w:r>
      <w:fldSimple w:instr=" SEQ Obr. \* ARABIC ">
        <w:r w:rsidR="00BC0866">
          <w:rPr>
            <w:noProof/>
          </w:rPr>
          <w:t>6</w:t>
        </w:r>
      </w:fldSimple>
      <w:r w:rsidR="00F223A3">
        <w:t>. Dostupné dáta o farmakodynamike</w:t>
      </w:r>
    </w:p>
    <w:p w14:paraId="707295EA" w14:textId="77777777" w:rsidR="00EA529C" w:rsidRPr="00EA529C" w:rsidRDefault="00EA529C" w:rsidP="000528CC">
      <w:pPr>
        <w:pStyle w:val="Obrazok-popis"/>
      </w:pPr>
    </w:p>
    <w:p w14:paraId="76EE2372" w14:textId="76A2F89A" w:rsidR="00580290" w:rsidRDefault="0018561B" w:rsidP="00580290">
      <w:pPr>
        <w:pStyle w:val="Heading2"/>
      </w:pPr>
      <w:bookmarkStart w:id="12" w:name="_Toc149501735"/>
      <w:proofErr w:type="spellStart"/>
      <w:r>
        <w:t>Bergmanov</w:t>
      </w:r>
      <w:proofErr w:type="spellEnd"/>
      <w:r>
        <w:t xml:space="preserve"> minimálny model</w:t>
      </w:r>
      <w:bookmarkEnd w:id="12"/>
    </w:p>
    <w:p w14:paraId="28D2CCEB" w14:textId="77777777" w:rsidR="00580290" w:rsidRDefault="00580290" w:rsidP="00580290">
      <w:r>
        <w:t xml:space="preserve"> </w:t>
      </w:r>
      <w:r w:rsidR="00982EF1">
        <w:t>Pre zostavenie podsystému sme použili nasledujúce poskytnuté rovnice</w:t>
      </w:r>
    </w:p>
    <w:p w14:paraId="3A0C1AA1" w14:textId="77777777" w:rsidR="000528D3" w:rsidRDefault="000528D3" w:rsidP="003473B2"/>
    <w:tbl>
      <w:tblPr>
        <w:tblW w:w="8678" w:type="dxa"/>
        <w:tblLayout w:type="fixed"/>
        <w:tblLook w:val="04A0" w:firstRow="1" w:lastRow="0" w:firstColumn="1" w:lastColumn="0" w:noHBand="0" w:noVBand="1"/>
      </w:tblPr>
      <w:tblGrid>
        <w:gridCol w:w="442"/>
        <w:gridCol w:w="6935"/>
        <w:gridCol w:w="1301"/>
      </w:tblGrid>
      <w:tr w:rsidR="000E66A6" w14:paraId="50682E25" w14:textId="77777777" w:rsidTr="00494BF7">
        <w:trPr>
          <w:trHeight w:val="398"/>
        </w:trPr>
        <w:tc>
          <w:tcPr>
            <w:tcW w:w="442" w:type="dxa"/>
          </w:tcPr>
          <w:p w14:paraId="7D66625C" w14:textId="77777777" w:rsidR="000E66A6" w:rsidRDefault="000E66A6" w:rsidP="00494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jc w:val="center"/>
              <w:rPr>
                <w:color w:val="000000"/>
              </w:rPr>
            </w:pPr>
          </w:p>
        </w:tc>
        <w:tc>
          <w:tcPr>
            <w:tcW w:w="6935" w:type="dxa"/>
          </w:tcPr>
          <w:p w14:paraId="5BD85563" w14:textId="77777777" w:rsidR="000E66A6" w:rsidRPr="00826435" w:rsidRDefault="00000000" w:rsidP="00494BF7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lang w:val="en-U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(I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)</m:t>
                </m:r>
              </m:oMath>
            </m:oMathPara>
          </w:p>
        </w:tc>
        <w:tc>
          <w:tcPr>
            <w:tcW w:w="1301" w:type="dxa"/>
          </w:tcPr>
          <w:p w14:paraId="15509B72" w14:textId="3F9BEA66" w:rsidR="000E66A6" w:rsidRDefault="000E66A6" w:rsidP="006E385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</w:tr>
      <w:tr w:rsidR="000E66A6" w14:paraId="2606686F" w14:textId="77777777" w:rsidTr="00494BF7">
        <w:trPr>
          <w:trHeight w:val="398"/>
        </w:trPr>
        <w:tc>
          <w:tcPr>
            <w:tcW w:w="442" w:type="dxa"/>
          </w:tcPr>
          <w:p w14:paraId="47BF1117" w14:textId="77777777" w:rsidR="000E66A6" w:rsidRDefault="000E66A6" w:rsidP="00494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jc w:val="center"/>
              <w:rPr>
                <w:color w:val="000000"/>
              </w:rPr>
            </w:pPr>
          </w:p>
        </w:tc>
        <w:tc>
          <w:tcPr>
            <w:tcW w:w="6935" w:type="dxa"/>
          </w:tcPr>
          <w:p w14:paraId="07FF7C6C" w14:textId="77777777" w:rsidR="000E66A6" w:rsidRPr="00224153" w:rsidRDefault="00000000" w:rsidP="00401170">
            <w:pPr>
              <w:jc w:val="center"/>
              <w:rPr>
                <w:rFonts w:ascii="Cambria Math" w:eastAsia="Cambria Math" w:hAnsi="Cambria Math" w:cs="Cambria Math"/>
                <w:color w:val="000000"/>
                <w:lang w:val="en-US"/>
                <w:oMath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)+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(Ra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X(t)G(t))</m:t>
                </m:r>
              </m:oMath>
            </m:oMathPara>
          </w:p>
        </w:tc>
        <w:tc>
          <w:tcPr>
            <w:tcW w:w="1301" w:type="dxa"/>
          </w:tcPr>
          <w:p w14:paraId="6F54DF46" w14:textId="78021FC3" w:rsidR="000E66A6" w:rsidRDefault="000E66A6" w:rsidP="006E385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</w:tr>
    </w:tbl>
    <w:p w14:paraId="5EE1224B" w14:textId="77777777" w:rsidR="000528D3" w:rsidRDefault="000528D3" w:rsidP="003473B2"/>
    <w:p w14:paraId="7DED8B62" w14:textId="77777777" w:rsidR="000528D3" w:rsidRDefault="000528D3" w:rsidP="003473B2"/>
    <w:p w14:paraId="1D091D46" w14:textId="77777777" w:rsidR="004E6A81" w:rsidRDefault="004E6A81" w:rsidP="004E6A81">
      <w:pPr>
        <w:pStyle w:val="Heading2"/>
      </w:pPr>
      <w:bookmarkStart w:id="13" w:name="_Toc149501736"/>
      <w:r w:rsidRPr="008F0CAB">
        <w:lastRenderedPageBreak/>
        <w:t>Simulačná</w:t>
      </w:r>
      <w:r>
        <w:t xml:space="preserve"> schéma</w:t>
      </w:r>
      <w:bookmarkEnd w:id="13"/>
      <w:r>
        <w:t xml:space="preserve"> </w:t>
      </w:r>
    </w:p>
    <w:p w14:paraId="01B4C4D9" w14:textId="2AE42C50" w:rsidR="00E62E5D" w:rsidRPr="00FE74C8" w:rsidRDefault="003F0FA5" w:rsidP="00E62E5D">
      <w:r w:rsidRPr="00FE74C8">
        <w:t xml:space="preserve">Na základe rovníc sme zostavili simulačnú schému </w:t>
      </w:r>
      <w:proofErr w:type="spellStart"/>
      <w:r w:rsidRPr="00FE74C8">
        <w:t>Bergmanovho</w:t>
      </w:r>
      <w:proofErr w:type="spellEnd"/>
      <w:r w:rsidRPr="00FE74C8">
        <w:t xml:space="preserve"> minimálneho modelu. Kde vstup I(t) je výstupom z identifikovaného podsystému vstrebávania inzulínu.</w:t>
      </w:r>
    </w:p>
    <w:p w14:paraId="0EF07813" w14:textId="77777777" w:rsidR="00205AF6" w:rsidRPr="00FE74C8" w:rsidRDefault="00205AF6" w:rsidP="004E6A81"/>
    <w:p w14:paraId="3A3B3012" w14:textId="5E5571EF" w:rsidR="00205AF6" w:rsidRDefault="00A16672" w:rsidP="00205AF6">
      <w:pPr>
        <w:pStyle w:val="Obrazok-popis"/>
        <w:keepNext/>
      </w:pPr>
      <w:r w:rsidRPr="00A16672">
        <w:drawing>
          <wp:inline distT="0" distB="0" distL="0" distR="0" wp14:anchorId="0F00B891" wp14:editId="3399BEEA">
            <wp:extent cx="5760720" cy="3079750"/>
            <wp:effectExtent l="0" t="0" r="0" b="6350"/>
            <wp:docPr id="1041481353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1353" name="Picture 1" descr="A diagram of a block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1BE" w14:textId="09C74C4E" w:rsidR="00205AF6" w:rsidRDefault="00205AF6" w:rsidP="00205AF6">
      <w:pPr>
        <w:pStyle w:val="Obrazok-popis"/>
      </w:pPr>
      <w:r>
        <w:t xml:space="preserve">Obr. </w:t>
      </w:r>
      <w:fldSimple w:instr=" SEQ Obr. \* ARABIC ">
        <w:r w:rsidR="00BC0866">
          <w:rPr>
            <w:noProof/>
          </w:rPr>
          <w:t>7</w:t>
        </w:r>
      </w:fldSimple>
      <w:r>
        <w:t>.</w:t>
      </w:r>
      <w:r w:rsidRPr="00205AF6">
        <w:t xml:space="preserve"> </w:t>
      </w:r>
      <w:r>
        <w:t>Simulačná schéma Bergmanového minimálneho modelu</w:t>
      </w:r>
    </w:p>
    <w:p w14:paraId="3EFD0CDB" w14:textId="0E425090" w:rsidR="00EA529C" w:rsidRDefault="00EA529C" w:rsidP="00F76C36">
      <w:pPr>
        <w:pStyle w:val="Obrazok-popis"/>
        <w:jc w:val="both"/>
      </w:pPr>
    </w:p>
    <w:p w14:paraId="0CE2F86A" w14:textId="77777777" w:rsidR="00EA529C" w:rsidRDefault="00EA529C" w:rsidP="003473B2"/>
    <w:p w14:paraId="7A60BF97" w14:textId="77777777" w:rsidR="006F0367" w:rsidRDefault="006F0367" w:rsidP="006F0367">
      <w:pPr>
        <w:pStyle w:val="Heading2"/>
      </w:pPr>
      <w:bookmarkStart w:id="14" w:name="_Toc149501737"/>
      <w:r>
        <w:t>Identifikácia neznámych parametrov</w:t>
      </w:r>
      <w:bookmarkEnd w:id="14"/>
    </w:p>
    <w:p w14:paraId="3DAFD99C" w14:textId="74C04B92" w:rsidR="00701D6D" w:rsidRDefault="00701D6D" w:rsidP="003473B2">
      <w:r>
        <w:t xml:space="preserve">Princípom merania </w:t>
      </w:r>
      <w:proofErr w:type="spellStart"/>
      <w:r>
        <w:t>farmakodynamiky</w:t>
      </w:r>
      <w:proofErr w:type="spellEnd"/>
      <w:r>
        <w:t xml:space="preserve"> je udržiavanie ustálenej (bazálnej) koncentrácie glukózy (</w:t>
      </w:r>
      <w:proofErr w:type="spellStart"/>
      <w:r>
        <w:t>euglykemický</w:t>
      </w:r>
      <w:proofErr w:type="spellEnd"/>
      <w:r>
        <w:t xml:space="preserve"> </w:t>
      </w:r>
      <w:proofErr w:type="spellStart"/>
      <w:r>
        <w:t>clamp</w:t>
      </w:r>
      <w:proofErr w:type="spellEnd"/>
      <w:r>
        <w:t xml:space="preserve">) v krvi po podaní bolusu inzulínu. Glykémia sa udržiava externou intravenóznou infúziou glukózy. Priebeh tejto infúzie zodpovedá </w:t>
      </w:r>
      <w:proofErr w:type="spellStart"/>
      <w:r>
        <w:t>farmakodynamike</w:t>
      </w:r>
      <w:proofErr w:type="spellEnd"/>
      <w:r>
        <w:t xml:space="preserve"> (PD dáta) a z princípu tiež signálu </w:t>
      </w:r>
      <w:proofErr w:type="spellStart"/>
      <w:r>
        <w:t>Ra</w:t>
      </w:r>
      <w:proofErr w:type="spellEnd"/>
      <w:r>
        <w:t>(t)</w:t>
      </w:r>
      <w:r>
        <w:t xml:space="preserve">. </w:t>
      </w:r>
    </w:p>
    <w:p w14:paraId="1D8F1256" w14:textId="430F5154" w:rsidR="00701D6D" w:rsidRDefault="00701D6D" w:rsidP="00701D6D">
      <w:pPr>
        <w:ind w:firstLine="708"/>
      </w:pPr>
      <w:r>
        <w:t xml:space="preserve">Cieľom je identifikovať vektor neznámych parametrov </w:t>
      </w:r>
      <w:r>
        <w:t>Si, p2</w:t>
      </w:r>
      <w:r>
        <w:t xml:space="preserve"> tak aby bola odchýlka medzi simulovanou glykémiou a bazálnou hodnotou Gb (parameter subjektu) minimalizovaná. Hodnota Gb je predpokladaná ako daná a signál </w:t>
      </w:r>
      <w:proofErr w:type="spellStart"/>
      <w:r>
        <w:t>Ra</w:t>
      </w:r>
      <w:proofErr w:type="spellEnd"/>
      <w:r>
        <w:t>(t) je daný PD dátami.</w:t>
      </w:r>
    </w:p>
    <w:p w14:paraId="2DEEE94B" w14:textId="47EDA8D2" w:rsidR="00701D6D" w:rsidRPr="00EB0541" w:rsidRDefault="00701D6D" w:rsidP="00EB0541">
      <w:pPr>
        <w:ind w:firstLine="708"/>
      </w:pPr>
      <w:r>
        <w:t>Nakoľko sa snažíme udržať glykémiu na bazálnej hodnote tak možno predpokladať že</w:t>
      </w:r>
      <w:r w:rsidR="00EB0541">
        <w:t xml:space="preserve"> Glykémia sa rovná bazálnej glykémií</w:t>
      </w:r>
      <w:r>
        <w:t xml:space="preserve">(G(t) </w:t>
      </w:r>
      <w:r>
        <w:t>–</w:t>
      </w:r>
      <w:r>
        <w:t xml:space="preserve"> Gb</w:t>
      </w:r>
      <w:r>
        <w:t>)</w:t>
      </w:r>
      <w:r w:rsidRPr="00701D6D">
        <w:t xml:space="preserve"> </w:t>
      </w:r>
      <w:r>
        <w:t>≈</w:t>
      </w:r>
      <w:r>
        <w:t xml:space="preserve"> </w:t>
      </w:r>
      <w:r>
        <w:t>0</w:t>
      </w:r>
      <w:r>
        <w:t>, preto parameter SG bude mať minimálny vplyv a </w:t>
      </w:r>
      <w:r w:rsidR="00EB0541">
        <w:t>možno</w:t>
      </w:r>
      <w:r>
        <w:t xml:space="preserve"> ho</w:t>
      </w:r>
      <w:r w:rsidR="00EB0541">
        <w:t xml:space="preserve"> nahradiť 0. Tým pádom spätná väzba </w:t>
      </w:r>
      <w:r w:rsidR="00EB0541">
        <w:t xml:space="preserve">−SG (G(t) − Gb)  </w:t>
      </w:r>
      <w:r w:rsidR="00EB0541">
        <w:t xml:space="preserve">bude taktiež rovná 0. VG sme uvažovali ako konštantnú hodnotu </w:t>
      </w:r>
      <w:r w:rsidR="00EB0541">
        <w:t>VG = 1, 467 [dl/kg</w:t>
      </w:r>
      <w:r w:rsidR="00EB0541">
        <w:rPr>
          <w:lang w:val="en-US"/>
        </w:rPr>
        <w:t>]</w:t>
      </w:r>
      <w:r w:rsidR="00EB0541">
        <w:t>.</w:t>
      </w:r>
      <w:r w:rsidR="006B26F8">
        <w:t xml:space="preserve"> </w:t>
      </w:r>
      <w:r w:rsidR="006B26F8">
        <w:t xml:space="preserve">Pre identifikáciu s využitím </w:t>
      </w:r>
      <w:r w:rsidR="006B26F8">
        <w:lastRenderedPageBreak/>
        <w:t>PD dát sa použila hodnota Gb = 8, 5 [mmol/l] (Gb = 153 [mg/dl]). Bolus inzulínu je rovnaký ako v predchádzajúcej časti (identifikácia s využitím PK dát).</w:t>
      </w:r>
    </w:p>
    <w:p w14:paraId="7FC2011D" w14:textId="12C4A8DE" w:rsidR="003016A4" w:rsidRDefault="00F76C36" w:rsidP="006B26F8">
      <w:pPr>
        <w:ind w:firstLine="708"/>
      </w:pPr>
      <w:r>
        <w:t>Pri identifikácií neznámych parametrov Si a p2 sme použili genetický algoritmus s fitness funkciou ako sumu kvadrátov odchýlky medzi bazálnou glykémiou a simulovanou glykémiou v krvi. Geneticky algoritmus sme spustili viac krát a vždy sme zúžili prehľadávaný priestor.</w:t>
      </w:r>
    </w:p>
    <w:p w14:paraId="79BEF4AC" w14:textId="00929758" w:rsidR="00FE74C8" w:rsidRPr="00FE74C8" w:rsidRDefault="00FE74C8" w:rsidP="00FE74C8">
      <w:pPr>
        <w:ind w:firstLine="708"/>
        <w:rPr>
          <w:lang w:val="en-US"/>
        </w:rPr>
      </w:pPr>
      <w:r>
        <w:rPr>
          <w:rFonts w:eastAsiaTheme="minorHAnsi"/>
          <w:lang w:eastAsia="en-US"/>
        </w:rPr>
        <w:t xml:space="preserve">Identifikované parametre sú </w:t>
      </w:r>
      <w:r>
        <w:rPr>
          <w:rFonts w:eastAsiaTheme="minorHAnsi"/>
        </w:rPr>
        <w:t>p2</w:t>
      </w:r>
      <w:r w:rsidR="009B569A">
        <w:rPr>
          <w:rFonts w:eastAsiaTheme="minorHAnsi"/>
        </w:rPr>
        <w:t xml:space="preserve"> = 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0.01094</w:t>
      </w:r>
      <w:r>
        <w:rPr>
          <w:rFonts w:eastAsiaTheme="minorHAnsi"/>
          <w:lang w:eastAsia="en-US"/>
        </w:rPr>
        <w:t xml:space="preserve"> </w:t>
      </w:r>
      <w:r w:rsidR="009B569A" w:rsidRPr="009B569A">
        <w:rPr>
          <w:i/>
          <w:iCs/>
        </w:rPr>
        <w:t>[1/min</w:t>
      </w:r>
      <w:r w:rsidR="009B569A">
        <w:t>]</w:t>
      </w:r>
      <w:r w:rsidR="009B569A">
        <w:t xml:space="preserve">, </w:t>
      </w:r>
      <w:r>
        <w:rPr>
          <w:rFonts w:eastAsiaTheme="minorHAnsi"/>
        </w:rPr>
        <w:t>Si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= 0.</w:t>
      </w:r>
      <w:r>
        <w:rPr>
          <w:rFonts w:eastAsiaTheme="minorHAnsi"/>
          <w:lang w:eastAsia="en-US"/>
        </w:rPr>
        <w:t>001564</w:t>
      </w:r>
      <w:r>
        <w:rPr>
          <w:rFonts w:eastAsiaTheme="minorHAnsi"/>
          <w:lang w:eastAsia="en-US"/>
        </w:rPr>
        <w:t xml:space="preserve"> </w:t>
      </w:r>
      <w:r w:rsidR="009B569A" w:rsidRPr="009B569A">
        <w:rPr>
          <w:rFonts w:eastAsiaTheme="minorHAnsi"/>
          <w:i/>
          <w:iCs/>
          <w:lang w:eastAsia="en-US"/>
        </w:rPr>
        <w:t>[</w:t>
      </w:r>
      <w:r w:rsidR="009B569A" w:rsidRPr="009B569A">
        <w:rPr>
          <w:i/>
          <w:iCs/>
        </w:rPr>
        <w:t>ml/µU/min</w:t>
      </w:r>
      <w:r w:rsidR="009B569A">
        <w:t>]</w:t>
      </w:r>
      <w:r>
        <w:rPr>
          <w:rFonts w:eastAsiaTheme="minorHAnsi"/>
          <w:lang w:eastAsia="en-US"/>
        </w:rPr>
        <w:t>.</w:t>
      </w:r>
      <w:r w:rsidR="00701D6D">
        <w:rPr>
          <w:rFonts w:eastAsiaTheme="minorHAnsi"/>
          <w:lang w:eastAsia="en-US"/>
        </w:rPr>
        <w:t xml:space="preserve"> Zo simulácie možno zhodnotiť že identifikované parametre sú vhodné, simulovaný priebeh glukózy v krvi sa udržiava dostatočne blízko bazálnej hodnoty. Ekvivalentne to možno zhodnotiť z tokov glukózy kde signál </w:t>
      </w:r>
      <w:r w:rsidR="00701D6D">
        <w:t>VGX(t)G(t)</w:t>
      </w:r>
      <w:r w:rsidR="00701D6D">
        <w:t xml:space="preserve"> zodpovedajúci účinku inzulínu, resp. úbytku glukózy je zhodný z odmeraným signálom </w:t>
      </w:r>
      <w:proofErr w:type="spellStart"/>
      <w:r w:rsidR="00701D6D">
        <w:t>Ra</w:t>
      </w:r>
      <w:proofErr w:type="spellEnd"/>
      <w:r w:rsidR="00701D6D">
        <w:t>(t) čo znamená že glykémia ostáva nezmenená.</w:t>
      </w:r>
    </w:p>
    <w:p w14:paraId="19F200E9" w14:textId="4F93A614" w:rsidR="00F344F8" w:rsidRDefault="00F344F8" w:rsidP="00F344F8">
      <w:pPr>
        <w:jc w:val="center"/>
      </w:pPr>
    </w:p>
    <w:p w14:paraId="50B1BAE8" w14:textId="362B7C31" w:rsidR="00AB5F6A" w:rsidRDefault="00F344F8" w:rsidP="00AB5F6A">
      <w:pPr>
        <w:pStyle w:val="Obrazok-popis"/>
        <w:keepNext/>
      </w:pPr>
      <w:r w:rsidRPr="00F344F8">
        <w:drawing>
          <wp:inline distT="0" distB="0" distL="0" distR="0" wp14:anchorId="3D4840B6" wp14:editId="17E768F3">
            <wp:extent cx="4963218" cy="3810532"/>
            <wp:effectExtent l="0" t="0" r="8890" b="0"/>
            <wp:docPr id="185438100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1009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C68" w14:textId="121601F7" w:rsidR="003016A4" w:rsidRDefault="00AB5F6A" w:rsidP="00076B3E">
      <w:pPr>
        <w:pStyle w:val="Obrazok-popis"/>
      </w:pPr>
      <w:r>
        <w:t xml:space="preserve">Obr. </w:t>
      </w:r>
      <w:fldSimple w:instr=" SEQ Obr. \* ARABIC ">
        <w:r w:rsidR="00BC0866">
          <w:rPr>
            <w:noProof/>
          </w:rPr>
          <w:t>8</w:t>
        </w:r>
      </w:fldSimple>
      <w:r>
        <w:t>.</w:t>
      </w:r>
      <w:r w:rsidR="00076B3E" w:rsidRPr="00076B3E">
        <w:t xml:space="preserve"> </w:t>
      </w:r>
      <w:r w:rsidR="00F344F8">
        <w:t>Priebeh hodnoty fitness</w:t>
      </w:r>
    </w:p>
    <w:p w14:paraId="0D89FAD0" w14:textId="77777777" w:rsidR="009649C0" w:rsidRPr="009649C0" w:rsidRDefault="009649C0" w:rsidP="009649C0"/>
    <w:p w14:paraId="55FC7747" w14:textId="77777777" w:rsidR="00BA5387" w:rsidRDefault="00F344F8" w:rsidP="00AB5F6A">
      <w:pPr>
        <w:pStyle w:val="Obrazok-popis"/>
        <w:keepNext/>
      </w:pPr>
      <w:r w:rsidRPr="00F344F8">
        <w:lastRenderedPageBreak/>
        <w:drawing>
          <wp:inline distT="0" distB="0" distL="0" distR="0" wp14:anchorId="655D3B5D" wp14:editId="44BB5AF1">
            <wp:extent cx="5096586" cy="3867690"/>
            <wp:effectExtent l="0" t="0" r="0" b="0"/>
            <wp:docPr id="861687869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87869" name="Picture 1" descr="A graph with numbers and a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7FE" w14:textId="2CDE9BB6" w:rsidR="00BA5387" w:rsidRDefault="00BA5387" w:rsidP="00BA5387">
      <w:pPr>
        <w:pStyle w:val="Obrazok-popis"/>
      </w:pPr>
      <w:r>
        <w:t xml:space="preserve">Obr. </w:t>
      </w:r>
      <w:r w:rsidR="00FB1AC6">
        <w:t>9</w:t>
      </w:r>
      <w:r>
        <w:t>.</w:t>
      </w:r>
      <w:r>
        <w:t xml:space="preserve"> Konvergencia parametrov</w:t>
      </w:r>
    </w:p>
    <w:p w14:paraId="52888D9C" w14:textId="39F84DF1" w:rsidR="001557BB" w:rsidRDefault="001557BB" w:rsidP="001557BB">
      <w:pPr>
        <w:jc w:val="center"/>
      </w:pPr>
      <w:r w:rsidRPr="001557BB">
        <w:drawing>
          <wp:inline distT="0" distB="0" distL="0" distR="0" wp14:anchorId="05D2DF3C" wp14:editId="05CABB9F">
            <wp:extent cx="4925112" cy="3877216"/>
            <wp:effectExtent l="0" t="0" r="8890" b="9525"/>
            <wp:docPr id="1772865861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5861" name="Picture 1" descr="A graph with a line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4F1F" w14:textId="4227E982" w:rsidR="001557BB" w:rsidRDefault="001557BB" w:rsidP="001557BB">
      <w:pPr>
        <w:jc w:val="center"/>
      </w:pPr>
      <w:r>
        <w:t xml:space="preserve">Obr. </w:t>
      </w:r>
      <w:r w:rsidR="00FB1AC6">
        <w:t>10</w:t>
      </w:r>
      <w:r>
        <w:t>. Koncentrácia glukózy v</w:t>
      </w:r>
      <w:r w:rsidR="00665613">
        <w:t> </w:t>
      </w:r>
      <w:r>
        <w:t>krvi</w:t>
      </w:r>
      <w:r w:rsidR="00665613">
        <w:t xml:space="preserve"> – Glykémia</w:t>
      </w:r>
    </w:p>
    <w:p w14:paraId="589AFFAD" w14:textId="77777777" w:rsidR="00665613" w:rsidRDefault="00665613" w:rsidP="001557BB">
      <w:pPr>
        <w:jc w:val="center"/>
      </w:pPr>
    </w:p>
    <w:p w14:paraId="48EE8258" w14:textId="56553D1A" w:rsidR="00665613" w:rsidRDefault="00665613" w:rsidP="001557BB">
      <w:pPr>
        <w:jc w:val="center"/>
        <w:rPr>
          <w:lang w:val="en-US"/>
        </w:rPr>
      </w:pPr>
      <w:r w:rsidRPr="00665613">
        <w:rPr>
          <w:lang w:val="en-US"/>
        </w:rPr>
        <w:lastRenderedPageBreak/>
        <w:drawing>
          <wp:inline distT="0" distB="0" distL="0" distR="0" wp14:anchorId="1F160356" wp14:editId="2A8ABB82">
            <wp:extent cx="4906060" cy="3867690"/>
            <wp:effectExtent l="0" t="0" r="8890" b="0"/>
            <wp:docPr id="8462644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6446" name="Picture 1" descr="A graph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9C7" w14:textId="0C892424" w:rsidR="00665613" w:rsidRPr="00665613" w:rsidRDefault="00665613" w:rsidP="001557BB">
      <w:pPr>
        <w:jc w:val="center"/>
        <w:rPr>
          <w:lang w:val="en-US"/>
        </w:rPr>
      </w:pPr>
      <w:r>
        <w:t>Obr.</w:t>
      </w:r>
      <w:r w:rsidR="00FB1AC6">
        <w:t>11</w:t>
      </w:r>
      <w:r>
        <w:t xml:space="preserve">. </w:t>
      </w:r>
      <w:r>
        <w:t>Toky glukózy</w:t>
      </w:r>
    </w:p>
    <w:p w14:paraId="41E47857" w14:textId="77777777" w:rsidR="00EA529C" w:rsidRDefault="00EA529C" w:rsidP="003473B2"/>
    <w:p w14:paraId="74E966C3" w14:textId="77777777" w:rsidR="00EA529C" w:rsidRDefault="00EA529C" w:rsidP="003473B2"/>
    <w:p w14:paraId="391839C8" w14:textId="77777777" w:rsidR="00EA529C" w:rsidRDefault="00EA529C" w:rsidP="003473B2"/>
    <w:p w14:paraId="716D79B5" w14:textId="77777777" w:rsidR="00EA529C" w:rsidRDefault="00EA529C" w:rsidP="003473B2"/>
    <w:p w14:paraId="0FE2FC9C" w14:textId="77777777" w:rsidR="00EA529C" w:rsidRDefault="00EA529C" w:rsidP="003473B2"/>
    <w:p w14:paraId="120196DC" w14:textId="77777777" w:rsidR="00EA529C" w:rsidRDefault="00EA529C" w:rsidP="003473B2"/>
    <w:p w14:paraId="62053383" w14:textId="77777777" w:rsidR="00EA529C" w:rsidRDefault="00EA529C" w:rsidP="003473B2"/>
    <w:p w14:paraId="7C960E44" w14:textId="77777777" w:rsidR="002A6707" w:rsidRDefault="002A6707" w:rsidP="003473B2"/>
    <w:p w14:paraId="23AE3334" w14:textId="77777777" w:rsidR="002A6707" w:rsidRDefault="002A6707" w:rsidP="003473B2"/>
    <w:p w14:paraId="6CEF05F7" w14:textId="77777777" w:rsidR="002A6707" w:rsidRDefault="002A6707" w:rsidP="003473B2"/>
    <w:p w14:paraId="28C4B7CA" w14:textId="77777777" w:rsidR="002A6707" w:rsidRDefault="002A6707" w:rsidP="003473B2"/>
    <w:p w14:paraId="1DCB78F5" w14:textId="77777777" w:rsidR="002A6707" w:rsidRDefault="002A6707" w:rsidP="003473B2"/>
    <w:p w14:paraId="21EC07CD" w14:textId="77777777" w:rsidR="002A6707" w:rsidRDefault="002A6707" w:rsidP="003473B2"/>
    <w:p w14:paraId="76F4112C" w14:textId="77777777" w:rsidR="002A6707" w:rsidRDefault="002A6707" w:rsidP="003473B2"/>
    <w:p w14:paraId="0C43ACB0" w14:textId="77777777" w:rsidR="002A6707" w:rsidRDefault="002A6707" w:rsidP="003473B2"/>
    <w:p w14:paraId="1B449E67" w14:textId="77777777" w:rsidR="002A6707" w:rsidRDefault="002A6707" w:rsidP="003473B2"/>
    <w:p w14:paraId="327D8D51" w14:textId="77777777" w:rsidR="002A6707" w:rsidRDefault="002A6707" w:rsidP="003473B2"/>
    <w:p w14:paraId="1884C92B" w14:textId="77777777" w:rsidR="000528D3" w:rsidRDefault="000528D3" w:rsidP="003473B2"/>
    <w:p w14:paraId="39264898" w14:textId="77777777" w:rsidR="003473B2" w:rsidRDefault="003473B2" w:rsidP="003473B2">
      <w:pPr>
        <w:pStyle w:val="Nadpis"/>
      </w:pPr>
      <w:bookmarkStart w:id="15" w:name="_Toc148202793"/>
      <w:r>
        <w:lastRenderedPageBreak/>
        <w:t>Záver</w:t>
      </w:r>
      <w:bookmarkEnd w:id="15"/>
    </w:p>
    <w:p w14:paraId="0CBBBE1F" w14:textId="658DBFAF" w:rsidR="003473B2" w:rsidRDefault="00886538" w:rsidP="001E1396">
      <w:r>
        <w:t>V zadaní sa nám podarilo zvýšiť návštevnosť stránky</w:t>
      </w:r>
      <w:r w:rsidR="001E1396">
        <w:t xml:space="preserve"> </w:t>
      </w:r>
      <w:hyperlink r:id="rId22" w:history="1">
        <w:r w:rsidR="001E1396" w:rsidRPr="0024321F">
          <w:rPr>
            <w:rStyle w:val="Hyperlink"/>
          </w:rPr>
          <w:t>https://diadaq.</w:t>
        </w:r>
        <w:r w:rsidR="001E1396" w:rsidRPr="0024321F">
          <w:rPr>
            <w:rStyle w:val="Hyperlink"/>
          </w:rPr>
          <w:t>b</w:t>
        </w:r>
        <w:r w:rsidR="001E1396" w:rsidRPr="0024321F">
          <w:rPr>
            <w:rStyle w:val="Hyperlink"/>
          </w:rPr>
          <w:t>logspot.com/search/label/Farmakokinetika%20a%20farmakodynamika%20inzul%C3%ADnu</w:t>
        </w:r>
      </w:hyperlink>
      <w:r w:rsidR="001E1396">
        <w:t>. Zostavili sme simulačnú schému podsystému pre vstrebávanie inzulínu  a identifikovali sme jeho parametre na základe dát o </w:t>
      </w:r>
      <w:proofErr w:type="spellStart"/>
      <w:r w:rsidR="001E1396">
        <w:t>farmakokinetike</w:t>
      </w:r>
      <w:proofErr w:type="spellEnd"/>
      <w:r w:rsidR="001E1396">
        <w:t xml:space="preserve"> inzulínu. </w:t>
      </w:r>
      <w:r w:rsidR="001E1396">
        <w:t xml:space="preserve">e podsystém vstrebávania inzulínu k </w:t>
      </w:r>
      <w:proofErr w:type="spellStart"/>
      <w:r w:rsidR="001E1396">
        <w:t>Bergmanovmu</w:t>
      </w:r>
      <w:proofErr w:type="spellEnd"/>
      <w:r w:rsidR="001E1396">
        <w:t xml:space="preserve"> minimálnemu modelu (z predchádzajúceho cvičenia) a identifikujte parametre minimálneho modelu na základe </w:t>
      </w:r>
      <w:proofErr w:type="spellStart"/>
      <w:r w:rsidR="001E1396">
        <w:t>farmakodynamiky</w:t>
      </w:r>
      <w:proofErr w:type="spellEnd"/>
      <w:r w:rsidR="001E1396">
        <w:t>.</w:t>
      </w:r>
      <w:r w:rsidR="001E1396">
        <w:t xml:space="preserve"> </w:t>
      </w:r>
      <w:r w:rsidR="00E53473">
        <w:t xml:space="preserve">Pre identifikáciu parametrov sme použili genetický algoritmus. Nájdené parametre Si, p2, Vi, </w:t>
      </w:r>
      <w:proofErr w:type="spellStart"/>
      <w:r w:rsidR="00E53473">
        <w:t>ki</w:t>
      </w:r>
      <w:proofErr w:type="spellEnd"/>
      <w:r w:rsidR="00E53473">
        <w:t>, Ti boli správne identifikované čo sme overili na grafoch Obr.4,Obr.</w:t>
      </w:r>
      <w:r w:rsidR="00FB1AC6">
        <w:t>10</w:t>
      </w:r>
      <w:r w:rsidR="00E53473">
        <w:t>,Obr.</w:t>
      </w:r>
      <w:r w:rsidR="00FB1AC6">
        <w:t>11</w:t>
      </w:r>
      <w:r w:rsidR="00E53473">
        <w:t xml:space="preserve">. Možno konštatovať že  simulačný model </w:t>
      </w:r>
      <w:r w:rsidR="00E53473">
        <w:t>podsystému pre vstrebávanie inzulínu</w:t>
      </w:r>
      <w:r w:rsidR="00E53473">
        <w:t xml:space="preserve"> z identifikovanými parametrami bol dostatočný a simulovaná koncentrácia inzulínu v krvi kopírovala dáta o </w:t>
      </w:r>
      <w:proofErr w:type="spellStart"/>
      <w:r w:rsidR="00E53473">
        <w:t>farmakokinetike</w:t>
      </w:r>
      <w:proofErr w:type="spellEnd"/>
      <w:r w:rsidR="00E53473">
        <w:t xml:space="preserve">. Ekvivalentne možno povedať že sme vhodne identifikovali parametre </w:t>
      </w:r>
      <w:proofErr w:type="spellStart"/>
      <w:r w:rsidR="00E53473">
        <w:t>Bergmanovho</w:t>
      </w:r>
      <w:proofErr w:type="spellEnd"/>
      <w:r w:rsidR="00E53473">
        <w:t xml:space="preserve"> minimálneho modelu s využití </w:t>
      </w:r>
      <w:proofErr w:type="spellStart"/>
      <w:r w:rsidR="00E53473">
        <w:t>farmakodynamiky</w:t>
      </w:r>
      <w:proofErr w:type="spellEnd"/>
      <w:r w:rsidR="00E53473">
        <w:t xml:space="preserve">, pri ktorom sa glykémia pohybovala okolo bazálnej hodnoty glykémie. </w:t>
      </w:r>
      <w:r w:rsidR="00E53473">
        <w:t xml:space="preserve">  </w:t>
      </w:r>
    </w:p>
    <w:p w14:paraId="19796901" w14:textId="77777777" w:rsidR="00A625F3" w:rsidRDefault="00A625F3" w:rsidP="003473B2">
      <w:pPr>
        <w:pStyle w:val="Nadpis"/>
      </w:pPr>
    </w:p>
    <w:p w14:paraId="61BE189D" w14:textId="77777777" w:rsidR="00A625F3" w:rsidRDefault="00A625F3" w:rsidP="003473B2">
      <w:pPr>
        <w:pStyle w:val="Nadpis"/>
      </w:pPr>
    </w:p>
    <w:p w14:paraId="54C3234A" w14:textId="77777777" w:rsidR="00A625F3" w:rsidRDefault="00A625F3" w:rsidP="003473B2">
      <w:pPr>
        <w:pStyle w:val="Nadpis"/>
      </w:pPr>
    </w:p>
    <w:p w14:paraId="5D2DA912" w14:textId="77777777" w:rsidR="00A625F3" w:rsidRDefault="00A625F3" w:rsidP="003473B2">
      <w:pPr>
        <w:pStyle w:val="Nadpis"/>
      </w:pPr>
    </w:p>
    <w:p w14:paraId="3BBBF38D" w14:textId="77777777" w:rsidR="00A625F3" w:rsidRDefault="00A625F3" w:rsidP="003473B2">
      <w:pPr>
        <w:pStyle w:val="Nadpis"/>
      </w:pPr>
    </w:p>
    <w:p w14:paraId="347B4429" w14:textId="77777777" w:rsidR="00A625F3" w:rsidRDefault="00A625F3" w:rsidP="003473B2">
      <w:pPr>
        <w:pStyle w:val="Nadpis"/>
      </w:pPr>
    </w:p>
    <w:p w14:paraId="77F2ADDC" w14:textId="77777777" w:rsidR="00A625F3" w:rsidRDefault="00A625F3" w:rsidP="003473B2">
      <w:pPr>
        <w:pStyle w:val="Nadpis"/>
      </w:pPr>
    </w:p>
    <w:p w14:paraId="3404D060" w14:textId="77777777" w:rsidR="00A625F3" w:rsidRDefault="00A625F3" w:rsidP="003473B2">
      <w:pPr>
        <w:pStyle w:val="Nadpis"/>
      </w:pPr>
    </w:p>
    <w:p w14:paraId="37BACBAA" w14:textId="77777777" w:rsidR="00A625F3" w:rsidRDefault="00A625F3" w:rsidP="003473B2">
      <w:pPr>
        <w:pStyle w:val="Nadpis"/>
      </w:pPr>
    </w:p>
    <w:p w14:paraId="14241BF7" w14:textId="77777777" w:rsidR="00A625F3" w:rsidRDefault="00A625F3" w:rsidP="003473B2">
      <w:pPr>
        <w:pStyle w:val="Nadpis"/>
      </w:pPr>
    </w:p>
    <w:p w14:paraId="48519917" w14:textId="77777777" w:rsidR="00A625F3" w:rsidRDefault="00A625F3" w:rsidP="003473B2">
      <w:pPr>
        <w:pStyle w:val="Nadpis"/>
      </w:pPr>
    </w:p>
    <w:p w14:paraId="7D6AD055" w14:textId="77777777" w:rsidR="00A625F3" w:rsidRDefault="00A625F3" w:rsidP="003473B2">
      <w:pPr>
        <w:pStyle w:val="Nadpis"/>
      </w:pPr>
    </w:p>
    <w:p w14:paraId="05C749F0" w14:textId="77777777" w:rsidR="00A625F3" w:rsidRDefault="00A625F3" w:rsidP="003473B2">
      <w:pPr>
        <w:pStyle w:val="Nadpis"/>
      </w:pPr>
    </w:p>
    <w:p w14:paraId="496C35CF" w14:textId="77777777" w:rsidR="00B4761D" w:rsidRDefault="00B4761D" w:rsidP="003473B2">
      <w:pPr>
        <w:pStyle w:val="Nadpis"/>
      </w:pPr>
    </w:p>
    <w:p w14:paraId="575913D3" w14:textId="77777777" w:rsidR="00A625F3" w:rsidRDefault="00A625F3" w:rsidP="003473B2">
      <w:pPr>
        <w:pStyle w:val="Nadpis"/>
      </w:pPr>
      <w:bookmarkStart w:id="16" w:name="_Toc148202794"/>
      <w:r>
        <w:t>Literatúra</w:t>
      </w:r>
      <w:bookmarkEnd w:id="16"/>
    </w:p>
    <w:p w14:paraId="0F5A6663" w14:textId="45CE72B8" w:rsidR="00BE261E" w:rsidRPr="00BE261E" w:rsidRDefault="00BE261E" w:rsidP="00BE261E">
      <w:r w:rsidRPr="00931C25">
        <w:t>Ing. Marián T</w:t>
      </w:r>
      <w:r w:rsidR="00BD1C72" w:rsidRPr="00931C25">
        <w:t>ární</w:t>
      </w:r>
      <w:r w:rsidRPr="00931C25">
        <w:t>k</w:t>
      </w:r>
      <w:hyperlink r:id="rId23" w:tgtFrame="_blank" w:history="1">
        <w:r w:rsidR="00BD1C72" w:rsidRPr="00931C25">
          <w:t xml:space="preserve">, </w:t>
        </w:r>
        <w:r w:rsidR="00931C25" w:rsidRPr="00931C25">
          <w:t>PhD.</w:t>
        </w:r>
      </w:hyperlink>
      <w:r w:rsidRPr="00931C25">
        <w:t xml:space="preserve"> [cvičenia a prednášky s predmetu BKYB]</w:t>
      </w:r>
    </w:p>
    <w:sectPr w:rsidR="00BE261E" w:rsidRPr="00BE261E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BCF34" w14:textId="77777777" w:rsidR="00D00BCA" w:rsidRDefault="00D00BCA" w:rsidP="00012142">
      <w:pPr>
        <w:spacing w:line="240" w:lineRule="auto"/>
      </w:pPr>
      <w:r>
        <w:separator/>
      </w:r>
    </w:p>
  </w:endnote>
  <w:endnote w:type="continuationSeparator" w:id="0">
    <w:p w14:paraId="016383E3" w14:textId="77777777" w:rsidR="00D00BCA" w:rsidRDefault="00D00BCA" w:rsidP="00012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athItalic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525B" w14:textId="77777777" w:rsidR="002B04E1" w:rsidRDefault="002B0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590617"/>
      <w:docPartObj>
        <w:docPartGallery w:val="Page Numbers (Bottom of Page)"/>
        <w:docPartUnique/>
      </w:docPartObj>
    </w:sdtPr>
    <w:sdtContent>
      <w:p w14:paraId="0B4FD213" w14:textId="77777777" w:rsidR="002B04E1" w:rsidRDefault="002B04E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982">
          <w:rPr>
            <w:noProof/>
          </w:rPr>
          <w:t>9</w:t>
        </w:r>
        <w:r>
          <w:fldChar w:fldCharType="end"/>
        </w:r>
      </w:p>
    </w:sdtContent>
  </w:sdt>
  <w:p w14:paraId="103ADCB6" w14:textId="77777777" w:rsidR="002B04E1" w:rsidRDefault="002B0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37A0" w14:textId="77777777" w:rsidR="00D00BCA" w:rsidRDefault="00D00BCA" w:rsidP="00012142">
      <w:pPr>
        <w:spacing w:line="240" w:lineRule="auto"/>
      </w:pPr>
      <w:r>
        <w:separator/>
      </w:r>
    </w:p>
  </w:footnote>
  <w:footnote w:type="continuationSeparator" w:id="0">
    <w:p w14:paraId="6C771A89" w14:textId="77777777" w:rsidR="00D00BCA" w:rsidRDefault="00D00BCA" w:rsidP="00012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03A4" w14:textId="77777777" w:rsidR="00B17967" w:rsidRDefault="00B17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BFD"/>
    <w:multiLevelType w:val="hybridMultilevel"/>
    <w:tmpl w:val="B15208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49C"/>
    <w:multiLevelType w:val="multilevel"/>
    <w:tmpl w:val="94A28E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5E0E"/>
    <w:multiLevelType w:val="hybridMultilevel"/>
    <w:tmpl w:val="263628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01A68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816E64"/>
    <w:multiLevelType w:val="multilevel"/>
    <w:tmpl w:val="84C6301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44031B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BFB53AF"/>
    <w:multiLevelType w:val="hybridMultilevel"/>
    <w:tmpl w:val="41E680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470E3"/>
    <w:multiLevelType w:val="hybridMultilevel"/>
    <w:tmpl w:val="3828C6F0"/>
    <w:lvl w:ilvl="0" w:tplc="61C2C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DCB"/>
    <w:multiLevelType w:val="hybridMultilevel"/>
    <w:tmpl w:val="EE24A1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64B2B"/>
    <w:multiLevelType w:val="hybridMultilevel"/>
    <w:tmpl w:val="BEA2ED9C"/>
    <w:lvl w:ilvl="0" w:tplc="64EE8C44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F4C"/>
    <w:multiLevelType w:val="hybridMultilevel"/>
    <w:tmpl w:val="A1222FEA"/>
    <w:lvl w:ilvl="0" w:tplc="20D6345A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1683F"/>
    <w:multiLevelType w:val="hybridMultilevel"/>
    <w:tmpl w:val="94A28E5A"/>
    <w:lvl w:ilvl="0" w:tplc="864CAA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85267">
    <w:abstractNumId w:val="11"/>
  </w:num>
  <w:num w:numId="2" w16cid:durableId="1342707670">
    <w:abstractNumId w:val="7"/>
  </w:num>
  <w:num w:numId="3" w16cid:durableId="1006908422">
    <w:abstractNumId w:val="1"/>
  </w:num>
  <w:num w:numId="4" w16cid:durableId="1066218567">
    <w:abstractNumId w:val="4"/>
  </w:num>
  <w:num w:numId="5" w16cid:durableId="281425993">
    <w:abstractNumId w:val="2"/>
  </w:num>
  <w:num w:numId="6" w16cid:durableId="1858079057">
    <w:abstractNumId w:val="8"/>
  </w:num>
  <w:num w:numId="7" w16cid:durableId="2039770319">
    <w:abstractNumId w:val="10"/>
  </w:num>
  <w:num w:numId="8" w16cid:durableId="31736560">
    <w:abstractNumId w:val="9"/>
  </w:num>
  <w:num w:numId="9" w16cid:durableId="39984040">
    <w:abstractNumId w:val="3"/>
  </w:num>
  <w:num w:numId="10" w16cid:durableId="1803692340">
    <w:abstractNumId w:val="5"/>
  </w:num>
  <w:num w:numId="11" w16cid:durableId="863784607">
    <w:abstractNumId w:val="0"/>
  </w:num>
  <w:num w:numId="12" w16cid:durableId="1623923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65"/>
    <w:rsid w:val="00000F8E"/>
    <w:rsid w:val="00003DB9"/>
    <w:rsid w:val="000071D9"/>
    <w:rsid w:val="00012142"/>
    <w:rsid w:val="00021A04"/>
    <w:rsid w:val="00037DA5"/>
    <w:rsid w:val="00043B83"/>
    <w:rsid w:val="000528CC"/>
    <w:rsid w:val="000528D3"/>
    <w:rsid w:val="0005329B"/>
    <w:rsid w:val="00064A51"/>
    <w:rsid w:val="000655F2"/>
    <w:rsid w:val="00073968"/>
    <w:rsid w:val="00076B3E"/>
    <w:rsid w:val="000772DD"/>
    <w:rsid w:val="00083633"/>
    <w:rsid w:val="00086FAF"/>
    <w:rsid w:val="00090A13"/>
    <w:rsid w:val="0009283B"/>
    <w:rsid w:val="0009371F"/>
    <w:rsid w:val="000940F3"/>
    <w:rsid w:val="000949EC"/>
    <w:rsid w:val="000A274B"/>
    <w:rsid w:val="000A3B57"/>
    <w:rsid w:val="000A49AF"/>
    <w:rsid w:val="000A5AD3"/>
    <w:rsid w:val="000B05CD"/>
    <w:rsid w:val="000B29F1"/>
    <w:rsid w:val="000B4F1C"/>
    <w:rsid w:val="000C3510"/>
    <w:rsid w:val="000C3520"/>
    <w:rsid w:val="000C3A58"/>
    <w:rsid w:val="000D07A4"/>
    <w:rsid w:val="000D5154"/>
    <w:rsid w:val="000D5613"/>
    <w:rsid w:val="000E0FE6"/>
    <w:rsid w:val="000E40AB"/>
    <w:rsid w:val="000E6550"/>
    <w:rsid w:val="000E66A6"/>
    <w:rsid w:val="000F0AA4"/>
    <w:rsid w:val="000F4735"/>
    <w:rsid w:val="000F5372"/>
    <w:rsid w:val="00100F22"/>
    <w:rsid w:val="001017F6"/>
    <w:rsid w:val="001068E4"/>
    <w:rsid w:val="00117109"/>
    <w:rsid w:val="00120F99"/>
    <w:rsid w:val="00121C90"/>
    <w:rsid w:val="001320D7"/>
    <w:rsid w:val="0013616F"/>
    <w:rsid w:val="00143541"/>
    <w:rsid w:val="00152EFE"/>
    <w:rsid w:val="001547AB"/>
    <w:rsid w:val="001557BB"/>
    <w:rsid w:val="00155A3B"/>
    <w:rsid w:val="00156EA2"/>
    <w:rsid w:val="00157C43"/>
    <w:rsid w:val="00163ED0"/>
    <w:rsid w:val="00164D2C"/>
    <w:rsid w:val="00164D84"/>
    <w:rsid w:val="00170B15"/>
    <w:rsid w:val="00176748"/>
    <w:rsid w:val="00176981"/>
    <w:rsid w:val="0017753E"/>
    <w:rsid w:val="00181554"/>
    <w:rsid w:val="0018561B"/>
    <w:rsid w:val="00185C2A"/>
    <w:rsid w:val="001A5745"/>
    <w:rsid w:val="001A5B09"/>
    <w:rsid w:val="001A5B9A"/>
    <w:rsid w:val="001A6010"/>
    <w:rsid w:val="001A7833"/>
    <w:rsid w:val="001B18C1"/>
    <w:rsid w:val="001C2740"/>
    <w:rsid w:val="001C6790"/>
    <w:rsid w:val="001C67CE"/>
    <w:rsid w:val="001E017F"/>
    <w:rsid w:val="001E1396"/>
    <w:rsid w:val="001E549B"/>
    <w:rsid w:val="001F054B"/>
    <w:rsid w:val="001F1092"/>
    <w:rsid w:val="001F2733"/>
    <w:rsid w:val="001F4700"/>
    <w:rsid w:val="001F6170"/>
    <w:rsid w:val="00205AF6"/>
    <w:rsid w:val="002111DB"/>
    <w:rsid w:val="00216843"/>
    <w:rsid w:val="00224153"/>
    <w:rsid w:val="0023135F"/>
    <w:rsid w:val="002327B5"/>
    <w:rsid w:val="00233C43"/>
    <w:rsid w:val="00243271"/>
    <w:rsid w:val="00251F1F"/>
    <w:rsid w:val="00253EBC"/>
    <w:rsid w:val="00255741"/>
    <w:rsid w:val="00257315"/>
    <w:rsid w:val="00261065"/>
    <w:rsid w:val="00263026"/>
    <w:rsid w:val="00265467"/>
    <w:rsid w:val="00265D84"/>
    <w:rsid w:val="00265F48"/>
    <w:rsid w:val="00267CAF"/>
    <w:rsid w:val="00271011"/>
    <w:rsid w:val="00272BC8"/>
    <w:rsid w:val="00280E96"/>
    <w:rsid w:val="002906B0"/>
    <w:rsid w:val="002A07C1"/>
    <w:rsid w:val="002A6707"/>
    <w:rsid w:val="002B04E1"/>
    <w:rsid w:val="002B0BB5"/>
    <w:rsid w:val="002C2E8E"/>
    <w:rsid w:val="002D0C7A"/>
    <w:rsid w:val="002D1964"/>
    <w:rsid w:val="002D461B"/>
    <w:rsid w:val="002D4BE8"/>
    <w:rsid w:val="002E6460"/>
    <w:rsid w:val="002E7528"/>
    <w:rsid w:val="002E7782"/>
    <w:rsid w:val="002E7E89"/>
    <w:rsid w:val="002F1DDC"/>
    <w:rsid w:val="002F4824"/>
    <w:rsid w:val="003016A4"/>
    <w:rsid w:val="00301935"/>
    <w:rsid w:val="003046B3"/>
    <w:rsid w:val="003066D6"/>
    <w:rsid w:val="00311E04"/>
    <w:rsid w:val="0032106E"/>
    <w:rsid w:val="003279FE"/>
    <w:rsid w:val="003473B2"/>
    <w:rsid w:val="00356359"/>
    <w:rsid w:val="0036001F"/>
    <w:rsid w:val="00366163"/>
    <w:rsid w:val="00366543"/>
    <w:rsid w:val="00380A70"/>
    <w:rsid w:val="00381EA2"/>
    <w:rsid w:val="00382171"/>
    <w:rsid w:val="003909A3"/>
    <w:rsid w:val="003A28BA"/>
    <w:rsid w:val="003A3296"/>
    <w:rsid w:val="003B2825"/>
    <w:rsid w:val="003B31B4"/>
    <w:rsid w:val="003B3AC1"/>
    <w:rsid w:val="003B4032"/>
    <w:rsid w:val="003B5D38"/>
    <w:rsid w:val="003C1117"/>
    <w:rsid w:val="003C715E"/>
    <w:rsid w:val="003D56F4"/>
    <w:rsid w:val="003D6D44"/>
    <w:rsid w:val="003E5714"/>
    <w:rsid w:val="003F0FA5"/>
    <w:rsid w:val="003F1B05"/>
    <w:rsid w:val="003F4684"/>
    <w:rsid w:val="003F4B75"/>
    <w:rsid w:val="003F56E8"/>
    <w:rsid w:val="00400218"/>
    <w:rsid w:val="00401170"/>
    <w:rsid w:val="00407798"/>
    <w:rsid w:val="00413F2B"/>
    <w:rsid w:val="00431C1B"/>
    <w:rsid w:val="00432882"/>
    <w:rsid w:val="00436A94"/>
    <w:rsid w:val="0044137D"/>
    <w:rsid w:val="0044499A"/>
    <w:rsid w:val="004477D7"/>
    <w:rsid w:val="00451198"/>
    <w:rsid w:val="004637B3"/>
    <w:rsid w:val="00465F1C"/>
    <w:rsid w:val="00474A9B"/>
    <w:rsid w:val="004752E5"/>
    <w:rsid w:val="00487808"/>
    <w:rsid w:val="004A3A14"/>
    <w:rsid w:val="004B46EC"/>
    <w:rsid w:val="004B5C1F"/>
    <w:rsid w:val="004C5E13"/>
    <w:rsid w:val="004C689E"/>
    <w:rsid w:val="004D3601"/>
    <w:rsid w:val="004D3645"/>
    <w:rsid w:val="004E0A06"/>
    <w:rsid w:val="004E0D90"/>
    <w:rsid w:val="004E44E0"/>
    <w:rsid w:val="004E5120"/>
    <w:rsid w:val="004E6A81"/>
    <w:rsid w:val="004E6C0F"/>
    <w:rsid w:val="00500743"/>
    <w:rsid w:val="00500978"/>
    <w:rsid w:val="0050383E"/>
    <w:rsid w:val="00511274"/>
    <w:rsid w:val="005211DF"/>
    <w:rsid w:val="00523E95"/>
    <w:rsid w:val="00527062"/>
    <w:rsid w:val="0053269A"/>
    <w:rsid w:val="00541605"/>
    <w:rsid w:val="0054174E"/>
    <w:rsid w:val="005531EB"/>
    <w:rsid w:val="0055734D"/>
    <w:rsid w:val="005608B9"/>
    <w:rsid w:val="005612A9"/>
    <w:rsid w:val="00563215"/>
    <w:rsid w:val="00576F49"/>
    <w:rsid w:val="005774FF"/>
    <w:rsid w:val="00580290"/>
    <w:rsid w:val="00580F56"/>
    <w:rsid w:val="00581A3A"/>
    <w:rsid w:val="00581E92"/>
    <w:rsid w:val="00582A4D"/>
    <w:rsid w:val="00587E77"/>
    <w:rsid w:val="00593B9A"/>
    <w:rsid w:val="00593E1B"/>
    <w:rsid w:val="005948E2"/>
    <w:rsid w:val="005A0254"/>
    <w:rsid w:val="005A5473"/>
    <w:rsid w:val="005B1ABE"/>
    <w:rsid w:val="005B1B3B"/>
    <w:rsid w:val="005B4C5C"/>
    <w:rsid w:val="005C0FE4"/>
    <w:rsid w:val="005E1472"/>
    <w:rsid w:val="005E2D33"/>
    <w:rsid w:val="005E772C"/>
    <w:rsid w:val="005F0D20"/>
    <w:rsid w:val="005F368F"/>
    <w:rsid w:val="005F59F3"/>
    <w:rsid w:val="006077A2"/>
    <w:rsid w:val="00615B9C"/>
    <w:rsid w:val="006232C4"/>
    <w:rsid w:val="0063342D"/>
    <w:rsid w:val="0064369B"/>
    <w:rsid w:val="006460F3"/>
    <w:rsid w:val="00653511"/>
    <w:rsid w:val="00653D4D"/>
    <w:rsid w:val="00654A2A"/>
    <w:rsid w:val="006631B1"/>
    <w:rsid w:val="006647D1"/>
    <w:rsid w:val="00665613"/>
    <w:rsid w:val="00666ACF"/>
    <w:rsid w:val="00675268"/>
    <w:rsid w:val="00675E17"/>
    <w:rsid w:val="00675EE2"/>
    <w:rsid w:val="006805C9"/>
    <w:rsid w:val="00683B45"/>
    <w:rsid w:val="00687057"/>
    <w:rsid w:val="006876C8"/>
    <w:rsid w:val="006A32CB"/>
    <w:rsid w:val="006A384E"/>
    <w:rsid w:val="006A4945"/>
    <w:rsid w:val="006A74C0"/>
    <w:rsid w:val="006A75F4"/>
    <w:rsid w:val="006B26F8"/>
    <w:rsid w:val="006B3936"/>
    <w:rsid w:val="006B3E8C"/>
    <w:rsid w:val="006C16A4"/>
    <w:rsid w:val="006D01D8"/>
    <w:rsid w:val="006D0327"/>
    <w:rsid w:val="006D1E77"/>
    <w:rsid w:val="006D51B1"/>
    <w:rsid w:val="006E265F"/>
    <w:rsid w:val="006E3858"/>
    <w:rsid w:val="006F0367"/>
    <w:rsid w:val="00701D6D"/>
    <w:rsid w:val="00704CF2"/>
    <w:rsid w:val="007140D4"/>
    <w:rsid w:val="007179E6"/>
    <w:rsid w:val="00724BDC"/>
    <w:rsid w:val="00736BE6"/>
    <w:rsid w:val="0073729A"/>
    <w:rsid w:val="007437D6"/>
    <w:rsid w:val="00743CD1"/>
    <w:rsid w:val="0075260C"/>
    <w:rsid w:val="00754BC4"/>
    <w:rsid w:val="00757ED3"/>
    <w:rsid w:val="00760297"/>
    <w:rsid w:val="00764175"/>
    <w:rsid w:val="007649B3"/>
    <w:rsid w:val="00764E9E"/>
    <w:rsid w:val="00765F21"/>
    <w:rsid w:val="00766372"/>
    <w:rsid w:val="00775CA4"/>
    <w:rsid w:val="007831BD"/>
    <w:rsid w:val="00793379"/>
    <w:rsid w:val="007A20BD"/>
    <w:rsid w:val="007A5B4F"/>
    <w:rsid w:val="007C440A"/>
    <w:rsid w:val="007C5AA4"/>
    <w:rsid w:val="007C7353"/>
    <w:rsid w:val="007D146A"/>
    <w:rsid w:val="007E4003"/>
    <w:rsid w:val="007E5A9C"/>
    <w:rsid w:val="007E7296"/>
    <w:rsid w:val="007F0DCD"/>
    <w:rsid w:val="007F6D40"/>
    <w:rsid w:val="008037D1"/>
    <w:rsid w:val="00825090"/>
    <w:rsid w:val="0082570D"/>
    <w:rsid w:val="00826435"/>
    <w:rsid w:val="00841DEE"/>
    <w:rsid w:val="00842898"/>
    <w:rsid w:val="0085327A"/>
    <w:rsid w:val="008533E7"/>
    <w:rsid w:val="00860180"/>
    <w:rsid w:val="0086080B"/>
    <w:rsid w:val="00865B5B"/>
    <w:rsid w:val="00871F93"/>
    <w:rsid w:val="00880A19"/>
    <w:rsid w:val="008827E4"/>
    <w:rsid w:val="00884D6B"/>
    <w:rsid w:val="00886538"/>
    <w:rsid w:val="008A241C"/>
    <w:rsid w:val="008A5E7C"/>
    <w:rsid w:val="008B0BE4"/>
    <w:rsid w:val="008B13CD"/>
    <w:rsid w:val="008B53E0"/>
    <w:rsid w:val="008D1424"/>
    <w:rsid w:val="008D15DF"/>
    <w:rsid w:val="008D6349"/>
    <w:rsid w:val="008D764B"/>
    <w:rsid w:val="008F089A"/>
    <w:rsid w:val="008F0CAB"/>
    <w:rsid w:val="008F5A52"/>
    <w:rsid w:val="008F6D8F"/>
    <w:rsid w:val="00900B1B"/>
    <w:rsid w:val="00905BAA"/>
    <w:rsid w:val="00910695"/>
    <w:rsid w:val="00911E9A"/>
    <w:rsid w:val="00915FC1"/>
    <w:rsid w:val="00930795"/>
    <w:rsid w:val="00931C25"/>
    <w:rsid w:val="0093293D"/>
    <w:rsid w:val="009438C5"/>
    <w:rsid w:val="0094418B"/>
    <w:rsid w:val="0094542D"/>
    <w:rsid w:val="00947429"/>
    <w:rsid w:val="0094759A"/>
    <w:rsid w:val="00953C66"/>
    <w:rsid w:val="00956575"/>
    <w:rsid w:val="00956FC4"/>
    <w:rsid w:val="009649C0"/>
    <w:rsid w:val="00967585"/>
    <w:rsid w:val="00982EF1"/>
    <w:rsid w:val="00983AD7"/>
    <w:rsid w:val="00986142"/>
    <w:rsid w:val="00996105"/>
    <w:rsid w:val="009A13AC"/>
    <w:rsid w:val="009A1F07"/>
    <w:rsid w:val="009A280B"/>
    <w:rsid w:val="009A3C7E"/>
    <w:rsid w:val="009A5AB4"/>
    <w:rsid w:val="009B2BA1"/>
    <w:rsid w:val="009B569A"/>
    <w:rsid w:val="009D1216"/>
    <w:rsid w:val="009E6DF4"/>
    <w:rsid w:val="009E7956"/>
    <w:rsid w:val="009F2711"/>
    <w:rsid w:val="009F4655"/>
    <w:rsid w:val="009F701D"/>
    <w:rsid w:val="00A0747B"/>
    <w:rsid w:val="00A16672"/>
    <w:rsid w:val="00A23C1E"/>
    <w:rsid w:val="00A240E0"/>
    <w:rsid w:val="00A260AA"/>
    <w:rsid w:val="00A26A7F"/>
    <w:rsid w:val="00A274E7"/>
    <w:rsid w:val="00A3398A"/>
    <w:rsid w:val="00A4320B"/>
    <w:rsid w:val="00A456FD"/>
    <w:rsid w:val="00A45982"/>
    <w:rsid w:val="00A5105A"/>
    <w:rsid w:val="00A60767"/>
    <w:rsid w:val="00A625F3"/>
    <w:rsid w:val="00A63CFE"/>
    <w:rsid w:val="00A67C15"/>
    <w:rsid w:val="00A730D2"/>
    <w:rsid w:val="00A75760"/>
    <w:rsid w:val="00A773B3"/>
    <w:rsid w:val="00A77DA8"/>
    <w:rsid w:val="00A826D3"/>
    <w:rsid w:val="00A8750E"/>
    <w:rsid w:val="00A90913"/>
    <w:rsid w:val="00A952A0"/>
    <w:rsid w:val="00AB5F6A"/>
    <w:rsid w:val="00AB6B8E"/>
    <w:rsid w:val="00AC1213"/>
    <w:rsid w:val="00AD1D15"/>
    <w:rsid w:val="00AD2319"/>
    <w:rsid w:val="00AD419E"/>
    <w:rsid w:val="00AD6F0C"/>
    <w:rsid w:val="00AE02C5"/>
    <w:rsid w:val="00AE1D9E"/>
    <w:rsid w:val="00AF13D0"/>
    <w:rsid w:val="00AF183F"/>
    <w:rsid w:val="00B022C3"/>
    <w:rsid w:val="00B02FBD"/>
    <w:rsid w:val="00B03EE2"/>
    <w:rsid w:val="00B066A1"/>
    <w:rsid w:val="00B07B1B"/>
    <w:rsid w:val="00B10ECE"/>
    <w:rsid w:val="00B10EE2"/>
    <w:rsid w:val="00B17017"/>
    <w:rsid w:val="00B17967"/>
    <w:rsid w:val="00B23765"/>
    <w:rsid w:val="00B24A71"/>
    <w:rsid w:val="00B371A5"/>
    <w:rsid w:val="00B45C1A"/>
    <w:rsid w:val="00B4761D"/>
    <w:rsid w:val="00B51221"/>
    <w:rsid w:val="00B52CB2"/>
    <w:rsid w:val="00B61E25"/>
    <w:rsid w:val="00B64338"/>
    <w:rsid w:val="00B74103"/>
    <w:rsid w:val="00B75375"/>
    <w:rsid w:val="00B85538"/>
    <w:rsid w:val="00B864B0"/>
    <w:rsid w:val="00B96596"/>
    <w:rsid w:val="00BA07E6"/>
    <w:rsid w:val="00BA14E8"/>
    <w:rsid w:val="00BA3EBF"/>
    <w:rsid w:val="00BA5387"/>
    <w:rsid w:val="00BA5F69"/>
    <w:rsid w:val="00BA654E"/>
    <w:rsid w:val="00BB03E2"/>
    <w:rsid w:val="00BB61FE"/>
    <w:rsid w:val="00BC0866"/>
    <w:rsid w:val="00BC32BA"/>
    <w:rsid w:val="00BC3E54"/>
    <w:rsid w:val="00BC4D17"/>
    <w:rsid w:val="00BD0386"/>
    <w:rsid w:val="00BD1C72"/>
    <w:rsid w:val="00BD2AF6"/>
    <w:rsid w:val="00BD33B9"/>
    <w:rsid w:val="00BD4288"/>
    <w:rsid w:val="00BD626E"/>
    <w:rsid w:val="00BD6383"/>
    <w:rsid w:val="00BE261E"/>
    <w:rsid w:val="00BE404E"/>
    <w:rsid w:val="00BE5A6B"/>
    <w:rsid w:val="00C043D9"/>
    <w:rsid w:val="00C2335B"/>
    <w:rsid w:val="00C25515"/>
    <w:rsid w:val="00C274CD"/>
    <w:rsid w:val="00C33A36"/>
    <w:rsid w:val="00C41856"/>
    <w:rsid w:val="00C4538D"/>
    <w:rsid w:val="00C45D9E"/>
    <w:rsid w:val="00C50660"/>
    <w:rsid w:val="00C55290"/>
    <w:rsid w:val="00C56389"/>
    <w:rsid w:val="00C6226A"/>
    <w:rsid w:val="00C7250F"/>
    <w:rsid w:val="00C7659F"/>
    <w:rsid w:val="00C832C6"/>
    <w:rsid w:val="00C86620"/>
    <w:rsid w:val="00C91946"/>
    <w:rsid w:val="00C93CB6"/>
    <w:rsid w:val="00CA0527"/>
    <w:rsid w:val="00CA1555"/>
    <w:rsid w:val="00CA5026"/>
    <w:rsid w:val="00CA6D86"/>
    <w:rsid w:val="00CB0B7B"/>
    <w:rsid w:val="00CB473F"/>
    <w:rsid w:val="00CD0071"/>
    <w:rsid w:val="00CD16AF"/>
    <w:rsid w:val="00CE2916"/>
    <w:rsid w:val="00CF667E"/>
    <w:rsid w:val="00D00BCA"/>
    <w:rsid w:val="00D03069"/>
    <w:rsid w:val="00D04F2B"/>
    <w:rsid w:val="00D0771F"/>
    <w:rsid w:val="00D1364D"/>
    <w:rsid w:val="00D157E7"/>
    <w:rsid w:val="00D204F7"/>
    <w:rsid w:val="00D23F88"/>
    <w:rsid w:val="00D33AB2"/>
    <w:rsid w:val="00D33C5D"/>
    <w:rsid w:val="00D43509"/>
    <w:rsid w:val="00D52181"/>
    <w:rsid w:val="00D52BA1"/>
    <w:rsid w:val="00D54693"/>
    <w:rsid w:val="00D62009"/>
    <w:rsid w:val="00D81BE1"/>
    <w:rsid w:val="00D87F70"/>
    <w:rsid w:val="00D940FE"/>
    <w:rsid w:val="00DA00D0"/>
    <w:rsid w:val="00DA090F"/>
    <w:rsid w:val="00DB0A0C"/>
    <w:rsid w:val="00DC137E"/>
    <w:rsid w:val="00DC5AB3"/>
    <w:rsid w:val="00DD1F2A"/>
    <w:rsid w:val="00DD312B"/>
    <w:rsid w:val="00DD6E03"/>
    <w:rsid w:val="00DE0235"/>
    <w:rsid w:val="00DE0D59"/>
    <w:rsid w:val="00DE344D"/>
    <w:rsid w:val="00DF4FE0"/>
    <w:rsid w:val="00E20489"/>
    <w:rsid w:val="00E22A1C"/>
    <w:rsid w:val="00E25D01"/>
    <w:rsid w:val="00E26E7D"/>
    <w:rsid w:val="00E32D5E"/>
    <w:rsid w:val="00E378C8"/>
    <w:rsid w:val="00E37F1F"/>
    <w:rsid w:val="00E41C7B"/>
    <w:rsid w:val="00E44A35"/>
    <w:rsid w:val="00E461A2"/>
    <w:rsid w:val="00E47365"/>
    <w:rsid w:val="00E51C18"/>
    <w:rsid w:val="00E53473"/>
    <w:rsid w:val="00E53A6B"/>
    <w:rsid w:val="00E5547D"/>
    <w:rsid w:val="00E5646D"/>
    <w:rsid w:val="00E57813"/>
    <w:rsid w:val="00E62E5D"/>
    <w:rsid w:val="00E80DE7"/>
    <w:rsid w:val="00E87718"/>
    <w:rsid w:val="00E915ED"/>
    <w:rsid w:val="00E92C91"/>
    <w:rsid w:val="00E94409"/>
    <w:rsid w:val="00E950C5"/>
    <w:rsid w:val="00E95CFD"/>
    <w:rsid w:val="00EA4AA3"/>
    <w:rsid w:val="00EA529C"/>
    <w:rsid w:val="00EA7075"/>
    <w:rsid w:val="00EA7AD0"/>
    <w:rsid w:val="00EB0541"/>
    <w:rsid w:val="00EB53C8"/>
    <w:rsid w:val="00EC7CCB"/>
    <w:rsid w:val="00ED44F7"/>
    <w:rsid w:val="00ED503E"/>
    <w:rsid w:val="00EE02A2"/>
    <w:rsid w:val="00EE129E"/>
    <w:rsid w:val="00EE4E95"/>
    <w:rsid w:val="00EF1B41"/>
    <w:rsid w:val="00EF25FE"/>
    <w:rsid w:val="00EF2D22"/>
    <w:rsid w:val="00F13C7E"/>
    <w:rsid w:val="00F1683F"/>
    <w:rsid w:val="00F211FD"/>
    <w:rsid w:val="00F223A3"/>
    <w:rsid w:val="00F23915"/>
    <w:rsid w:val="00F246E3"/>
    <w:rsid w:val="00F31BE2"/>
    <w:rsid w:val="00F344F8"/>
    <w:rsid w:val="00F36E3B"/>
    <w:rsid w:val="00F400D8"/>
    <w:rsid w:val="00F509CB"/>
    <w:rsid w:val="00F564CD"/>
    <w:rsid w:val="00F567A3"/>
    <w:rsid w:val="00F56913"/>
    <w:rsid w:val="00F60026"/>
    <w:rsid w:val="00F637B6"/>
    <w:rsid w:val="00F76C36"/>
    <w:rsid w:val="00F908A5"/>
    <w:rsid w:val="00FA01A0"/>
    <w:rsid w:val="00FA7C65"/>
    <w:rsid w:val="00FB1AC6"/>
    <w:rsid w:val="00FC74CE"/>
    <w:rsid w:val="00FD6296"/>
    <w:rsid w:val="00FE74C8"/>
    <w:rsid w:val="00FE7DB4"/>
    <w:rsid w:val="00FF11FD"/>
    <w:rsid w:val="00FF6F1A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401A2"/>
  <w15:chartTrackingRefBased/>
  <w15:docId w15:val="{B389E2F5-825B-4045-941C-DC42CBB3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6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A35"/>
    <w:pPr>
      <w:keepNext/>
      <w:keepLines/>
      <w:numPr>
        <w:numId w:val="9"/>
      </w:numPr>
      <w:spacing w:before="240" w:after="120"/>
      <w:ind w:left="431" w:hanging="431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A94"/>
    <w:pPr>
      <w:keepNext/>
      <w:keepLines/>
      <w:numPr>
        <w:ilvl w:val="1"/>
        <w:numId w:val="9"/>
      </w:numPr>
      <w:spacing w:before="40" w:after="120"/>
      <w:ind w:left="578" w:hanging="578"/>
      <w:jc w:val="left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A94"/>
    <w:pPr>
      <w:keepNext/>
      <w:keepLines/>
      <w:numPr>
        <w:ilvl w:val="2"/>
        <w:numId w:val="9"/>
      </w:numPr>
      <w:spacing w:before="40" w:after="120"/>
      <w:outlineLvl w:val="2"/>
    </w:pPr>
    <w:rPr>
      <w:rFonts w:eastAsiaTheme="majorEastAsia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55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555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555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555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555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555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A35"/>
    <w:rPr>
      <w:rFonts w:ascii="Times New Roman" w:eastAsiaTheme="majorEastAsia" w:hAnsi="Times New Roman" w:cstheme="majorBidi"/>
      <w:b/>
      <w:sz w:val="36"/>
      <w:szCs w:val="32"/>
      <w:lang w:eastAsia="sk-SK"/>
    </w:rPr>
  </w:style>
  <w:style w:type="paragraph" w:customStyle="1" w:styleId="Default">
    <w:name w:val="Default"/>
    <w:rsid w:val="00593E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E1B"/>
    <w:pPr>
      <w:ind w:left="720"/>
      <w:contextualSpacing/>
    </w:pPr>
  </w:style>
  <w:style w:type="paragraph" w:customStyle="1" w:styleId="Obrazok-popis">
    <w:name w:val="Obrazok - popis"/>
    <w:basedOn w:val="Normal"/>
    <w:next w:val="Normal"/>
    <w:link w:val="Obrazok-popisChar"/>
    <w:qFormat/>
    <w:rsid w:val="00582A4D"/>
    <w:pPr>
      <w:jc w:val="center"/>
    </w:pPr>
  </w:style>
  <w:style w:type="character" w:customStyle="1" w:styleId="Obrazok-popisChar">
    <w:name w:val="Obrazok - popis Char"/>
    <w:basedOn w:val="DefaultParagraphFont"/>
    <w:link w:val="Obrazok-popis"/>
    <w:rsid w:val="00582A4D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er">
    <w:name w:val="header"/>
    <w:basedOn w:val="Normal"/>
    <w:link w:val="HeaderChar"/>
    <w:uiPriority w:val="99"/>
    <w:unhideWhenUsed/>
    <w:rsid w:val="0001214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42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Footer">
    <w:name w:val="footer"/>
    <w:basedOn w:val="Normal"/>
    <w:link w:val="FooterChar"/>
    <w:uiPriority w:val="99"/>
    <w:unhideWhenUsed/>
    <w:rsid w:val="0001214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42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laceholderText">
    <w:name w:val="Placeholder Text"/>
    <w:basedOn w:val="DefaultParagraphFont"/>
    <w:uiPriority w:val="99"/>
    <w:semiHidden/>
    <w:rsid w:val="00F36E3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36A94"/>
    <w:rPr>
      <w:rFonts w:ascii="Times New Roman" w:eastAsiaTheme="majorEastAsia" w:hAnsi="Times New Roman" w:cstheme="majorBidi"/>
      <w:b/>
      <w:sz w:val="30"/>
      <w:szCs w:val="26"/>
      <w:lang w:eastAsia="sk-SK"/>
    </w:rPr>
  </w:style>
  <w:style w:type="table" w:styleId="TableGrid">
    <w:name w:val="Table Grid"/>
    <w:basedOn w:val="TableNormal"/>
    <w:uiPriority w:val="39"/>
    <w:rsid w:val="00E5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74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5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6A94"/>
    <w:rPr>
      <w:rFonts w:ascii="Times New Roman" w:eastAsiaTheme="majorEastAsia" w:hAnsi="Times New Roman" w:cstheme="majorBidi"/>
      <w:b/>
      <w:sz w:val="26"/>
      <w:szCs w:val="24"/>
      <w:lang w:eastAsia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55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55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5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55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sk-SK"/>
    </w:rPr>
  </w:style>
  <w:style w:type="paragraph" w:customStyle="1" w:styleId="Nadpis">
    <w:name w:val="Nadpis"/>
    <w:basedOn w:val="Normal"/>
    <w:link w:val="NadpisChar"/>
    <w:qFormat/>
    <w:rsid w:val="00185C2A"/>
    <w:pPr>
      <w:spacing w:after="120"/>
    </w:pPr>
    <w:rPr>
      <w:b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7526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NadpisChar">
    <w:name w:val="Nadpis Char"/>
    <w:basedOn w:val="DefaultParagraphFont"/>
    <w:link w:val="Nadpis"/>
    <w:rsid w:val="00185C2A"/>
    <w:rPr>
      <w:rFonts w:ascii="Times New Roman" w:eastAsia="Times New Roman" w:hAnsi="Times New Roman" w:cs="Times New Roman"/>
      <w:b/>
      <w:sz w:val="40"/>
      <w:szCs w:val="24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625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2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5268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E1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is.stuba.sk/auth/lide/clovek.pl?id=29002;lang=sk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diadaq.blogspot.com/search/label/Farmakokinetika%20a%20farmakodynamika%20inzul%C3%ADnu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8DE50CAB-2DF5-4B6C-8C74-38FFCEB0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1189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Fundárek</cp:lastModifiedBy>
  <cp:revision>2</cp:revision>
  <cp:lastPrinted>2023-10-29T18:57:00Z</cp:lastPrinted>
  <dcterms:created xsi:type="dcterms:W3CDTF">2023-10-29T18:58:00Z</dcterms:created>
  <dcterms:modified xsi:type="dcterms:W3CDTF">2023-10-29T18:58:00Z</dcterms:modified>
</cp:coreProperties>
</file>