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lineRule="auto"/>
        <w:jc w:val="center"/>
      </w:pPr>
      <w:r>
        <w:rPr>
          <w:rFonts w:ascii="Times New Roman" w:cs="Times New Roman" w:eastAsia="Times New Roman" w:hAnsi="Times New Roman"/>
          <w:b/>
          <w:bCs/>
          <w:sz w:val="24"/>
          <w:szCs w:val="24"/>
        </w:rPr>
        <w:t xml:space="preserve">ABSTRACT</w:t>
      </w:r>
    </w:p>
    <w:p>
      <w:pPr>
        <w:spacing w:after="0" w:line="240" w:lineRule="auto"/>
        <w:ind w:firstLine="0"/>
        <w:jc w:val="both"/>
      </w:pPr>
      <w:r>
        <w:rPr>
          <w:rFonts w:ascii="Times New Roman" w:cs="Times New Roman" w:eastAsia="Times New Roman" w:hAnsi="Times New Roman"/>
          <w:sz w:val="24"/>
          <w:szCs w:val="24"/>
        </w:rPr>
        <w:t xml:space="preserve">Typhoid fever remains a major cause of morbidity and mortality in low- and middle-income countries, where blood culture is slow and infrastructure-dependent and the Widal test lacks sensitivity and specificity where prior exposure is common, leaving diagnosis delayed or incorrect. This study developed and evaluated a Support Vector Machine model for the rapid and accurate prediction and diagnosis of typhoid fever in resource-limited settings, by preprocessing a Kaggle typhoid dataset, designing and training the model, and evaluating its scalability across settings. A dataset of 31,087 records and 23 attributes was obtained; nine were excluded during preprocessing: two as diagnostic leakage, four as laboratory investigations unavailable at the point of care, two as incompletely recorded, and one as a community variable. Neurological Symptoms was recoded as a binary Headache indicator, leaving thirteen attributes, each obtainable by history and examination and complete for all records. SMOTENC was applied within the modelling pipeline, preventing leakage across the 80:20 stratified partition. Three kernels were compared and 24 configurations optimised by Grid Search under three-fold cross-validation on macro F1, and probabilities calibrated by Platt scaling. The optimised linear model achieved an accuracy of 0.9875, a macro F1 of 0.9849, a sensitivity of 0.9584 and a specificity of 1.0000 on 6,218 unseen records at 7.78 ms per prediction, with macro F1 varying by only 0.0065 across endemic, rural and urban subgroups; the reduction to thirteen attributes cost 0.06 accuracy points. The model was deployed as a live, role-based decision-support application verified by 168 automated tests. A signal audit established, however, that a single threshold on Fever Duration matches the model's accuracy exactly, that removing it collapses balanced accuracy below chance, and that the Widal and Typhidot tests are statistically independent of the label; two further public typhoid datasets showed comparable defects. The reported accuracy therefore measures the construction of the dataset rather than diagnostic capability, and the study delivers a reproducible pipeline and deployment pathway rather than a diagnostic instrument. It is recommended that trivial baselines be reported with every model result, and that a culture-confirmed typhoid dataset be assembled before clinical use is contemplated.</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2026-09-18T07:32:16.250Z</dcterms:created>
  <dcterms:modified xsi:type="dcterms:W3CDTF">2026-09-18T07:32:16.250Z</dcterms:modified>
</cp:coreProperties>
</file>

<file path=docProps/custom.xml><?xml version="1.0" encoding="utf-8"?>
<Properties xmlns="http://schemas.openxmlformats.org/officeDocument/2006/custom-properties" xmlns:vt="http://schemas.openxmlformats.org/officeDocument/2006/docPropsVTypes"/>
</file>