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ALIGNMENT REVIEW OF CHAPTERS ONE AND THREE</w:t>
      </w:r>
    </w:p>
    <w:p>
      <w:pPr>
        <w:spacing w:after="240" w:line="360"/>
        <w:jc w:val="center"/>
      </w:pPr>
      <w:r>
        <w:rPr>
          <w:rFonts w:ascii="Times New Roman" w:cs="Times New Roman" w:eastAsia="Times New Roman" w:hAnsi="Times New Roman"/>
          <w:i/>
          <w:iCs/>
          <w:sz w:val="22"/>
          <w:szCs w:val="22"/>
        </w:rPr>
        <w:t xml:space="preserve">Machine Learning-Based Model for the Prediction and Diagnosis of Typhoid Fever Using Support Vector Machine</w:t>
      </w:r>
    </w:p>
    <w:p>
      <w:pPr>
        <w:pStyle w:val="Heading2"/>
        <w:spacing w:after="120" w:before="240" w:line="360" w:lineRule="auto"/>
        <w:jc w:val="left"/>
      </w:pPr>
      <w:r>
        <w:rPr>
          <w:rFonts w:ascii="Times New Roman" w:cs="Times New Roman" w:eastAsia="Times New Roman" w:hAnsi="Times New Roman"/>
          <w:b/>
          <w:bCs/>
          <w:sz w:val="24"/>
          <w:szCs w:val="24"/>
        </w:rPr>
        <w:t xml:space="preserve">Purpose and Scope of this Review</w:t>
      </w:r>
    </w:p>
    <w:p>
      <w:pPr>
        <w:spacing w:after="160" w:line="360" w:lineRule="auto"/>
        <w:jc w:val="both"/>
      </w:pPr>
      <w:r>
        <w:rPr>
          <w:rFonts w:ascii="Times New Roman" w:cs="Times New Roman" w:eastAsia="Times New Roman" w:hAnsi="Times New Roman"/>
          <w:sz w:val="24"/>
          <w:szCs w:val="24"/>
        </w:rPr>
        <w:t xml:space="preserve">This memorandum reports the outcome of a check of Chapters One and Three against the aim and the four specific objectives stated in Section 1.3, and against the SPGS Revised Thesis Writing Guidelines (2025). No text in either chapter has been altered, and no figure has been modified, replaced or removed. What follows is a list of suggested edits for the author and supervisor to consider.</w:t>
      </w:r>
    </w:p>
    <w:p>
      <w:pPr>
        <w:spacing w:after="160" w:line="360" w:lineRule="auto"/>
        <w:jc w:val="both"/>
      </w:pPr>
      <w:r>
        <w:rPr>
          <w:rFonts w:ascii="Times New Roman" w:cs="Times New Roman" w:eastAsia="Times New Roman" w:hAnsi="Times New Roman"/>
          <w:sz w:val="24"/>
          <w:szCs w:val="24"/>
        </w:rPr>
        <w:t xml:space="preserve">Findings are graded in two bands. </w:t>
      </w:r>
      <w:r>
        <w:rPr>
          <w:rFonts w:ascii="Times New Roman" w:cs="Times New Roman" w:eastAsia="Times New Roman" w:hAnsi="Times New Roman"/>
          <w:b/>
          <w:bCs/>
          <w:sz w:val="24"/>
          <w:szCs w:val="24"/>
        </w:rPr>
        <w:t xml:space="preserve">Critical</w:t>
      </w:r>
      <w:r>
        <w:rPr>
          <w:rFonts w:ascii="Times New Roman" w:cs="Times New Roman" w:eastAsia="Times New Roman" w:hAnsi="Times New Roman"/>
          <w:sz w:val="24"/>
          <w:szCs w:val="24"/>
        </w:rPr>
        <w:t xml:space="preserve"> items are direct contradictions between the chapters and either the objectives or the work actually carried out; leaving them stands to attract questions at oral examination that have no good answer. </w:t>
      </w:r>
      <w:r>
        <w:rPr>
          <w:rFonts w:ascii="Times New Roman" w:cs="Times New Roman" w:eastAsia="Times New Roman" w:hAnsi="Times New Roman"/>
          <w:b/>
          <w:bCs/>
          <w:sz w:val="24"/>
          <w:szCs w:val="24"/>
        </w:rPr>
        <w:t xml:space="preserve">Advisory</w:t>
      </w:r>
      <w:r>
        <w:rPr>
          <w:rFonts w:ascii="Times New Roman" w:cs="Times New Roman" w:eastAsia="Times New Roman" w:hAnsi="Times New Roman"/>
          <w:sz w:val="24"/>
          <w:szCs w:val="24"/>
        </w:rPr>
        <w:t xml:space="preserve"> items are accuracy and compliance matters that should be corrected but do not undermine the argument.</w:t>
      </w:r>
    </w:p>
    <w:p>
      <w:pPr>
        <w:pStyle w:val="Heading2"/>
        <w:spacing w:after="120" w:before="240" w:line="360" w:lineRule="auto"/>
        <w:jc w:val="left"/>
      </w:pPr>
      <w:r>
        <w:rPr>
          <w:rFonts w:ascii="Times New Roman" w:cs="Times New Roman" w:eastAsia="Times New Roman" w:hAnsi="Times New Roman"/>
          <w:b/>
          <w:bCs/>
          <w:sz w:val="24"/>
          <w:szCs w:val="24"/>
        </w:rPr>
        <w:t xml:space="preserve">Critical Findings</w:t>
      </w:r>
    </w:p>
    <w:p>
      <w:pPr>
        <w:pStyle w:val="Heading3"/>
        <w:spacing w:after="100" w:before="200" w:line="360" w:lineRule="auto"/>
        <w:jc w:val="left"/>
      </w:pPr>
      <w:r>
        <w:rPr>
          <w:rFonts w:ascii="Times New Roman" w:cs="Times New Roman" w:eastAsia="Times New Roman" w:hAnsi="Times New Roman"/>
          <w:b/>
          <w:bCs/>
          <w:sz w:val="24"/>
          <w:szCs w:val="24"/>
        </w:rPr>
        <w:t xml:space="preserve">C1. The stated aim names a disease the study does not address</w:t>
      </w:r>
    </w:p>
    <w:p>
      <w:pPr>
        <w:spacing w:after="160" w:line="360" w:lineRule="auto"/>
        <w:jc w:val="both"/>
      </w:pPr>
      <w:r>
        <w:rPr>
          <w:rFonts w:ascii="Times New Roman" w:cs="Times New Roman" w:eastAsia="Times New Roman" w:hAnsi="Times New Roman"/>
          <w:sz w:val="24"/>
          <w:szCs w:val="24"/>
        </w:rPr>
        <w:t xml:space="preserve">Section 1.3 reads: </w:t>
      </w:r>
      <w:r>
        <w:rPr>
          <w:rFonts w:ascii="Times New Roman" w:cs="Times New Roman" w:eastAsia="Times New Roman" w:hAnsi="Times New Roman"/>
          <w:i/>
          <w:iCs/>
          <w:sz w:val="24"/>
          <w:szCs w:val="24"/>
        </w:rPr>
        <w:t xml:space="preserve">"...for the rapid and accurate prediction and diagnosis of malaria and typhoid fever, particularly in resource-limited settings."</w:t>
      </w:r>
    </w:p>
    <w:p>
      <w:pPr>
        <w:spacing w:after="160" w:line="360" w:lineRule="auto"/>
        <w:jc w:val="both"/>
      </w:pPr>
      <w:r>
        <w:rPr>
          <w:rFonts w:ascii="Times New Roman" w:cs="Times New Roman" w:eastAsia="Times New Roman" w:hAnsi="Times New Roman"/>
          <w:sz w:val="24"/>
          <w:szCs w:val="24"/>
        </w:rPr>
        <w:t xml:space="preserve">Every one of the four objectives concerns typhoid alone. The dataset is a typhoid dataset. The model, the evaluation and the deployed system are typhoid-only. The title of the thesis is typhoid-only. This is the single most serious misalignment in the document: an examiner reading the aim will expect a malaria component and will not find one.</w:t>
      </w:r>
    </w:p>
    <w:p>
      <w:pPr>
        <w:spacing w:after="160" w:line="360" w:lineRule="auto"/>
        <w:jc w:val="both"/>
      </w:pPr>
      <w:r>
        <w:rPr>
          <w:rFonts w:ascii="Times New Roman" w:cs="Times New Roman" w:eastAsia="Times New Roman" w:hAnsi="Times New Roman"/>
          <w:b/>
          <w:bCs/>
          <w:sz w:val="24"/>
          <w:szCs w:val="24"/>
        </w:rPr>
        <w:t xml:space="preserve">Suggested minimal edit:</w:t>
      </w:r>
      <w:r>
        <w:rPr>
          <w:rFonts w:ascii="Times New Roman" w:cs="Times New Roman" w:eastAsia="Times New Roman" w:hAnsi="Times New Roman"/>
          <w:sz w:val="24"/>
          <w:szCs w:val="24"/>
        </w:rPr>
        <w:t xml:space="preserve"> delete the two words </w:t>
      </w:r>
      <w:r>
        <w:rPr>
          <w:rFonts w:ascii="Times New Roman" w:cs="Times New Roman" w:eastAsia="Times New Roman" w:hAnsi="Times New Roman"/>
          <w:i/>
          <w:iCs/>
          <w:sz w:val="24"/>
          <w:szCs w:val="24"/>
        </w:rPr>
        <w:t xml:space="preserve">malaria and</w:t>
      </w:r>
      <w:r>
        <w:rPr>
          <w:rFonts w:ascii="Times New Roman" w:cs="Times New Roman" w:eastAsia="Times New Roman" w:hAnsi="Times New Roman"/>
          <w:sz w:val="24"/>
          <w:szCs w:val="24"/>
        </w:rPr>
        <w:t xml:space="preserve"> from the aim sentence.</w:t>
      </w:r>
    </w:p>
    <w:p>
      <w:pPr>
        <w:pStyle w:val="Heading3"/>
        <w:spacing w:after="100" w:before="200" w:line="360" w:lineRule="auto"/>
        <w:jc w:val="left"/>
      </w:pPr>
      <w:r>
        <w:rPr>
          <w:rFonts w:ascii="Times New Roman" w:cs="Times New Roman" w:eastAsia="Times New Roman" w:hAnsi="Times New Roman"/>
          <w:b/>
          <w:bCs/>
          <w:sz w:val="24"/>
          <w:szCs w:val="24"/>
        </w:rPr>
        <w:t xml:space="preserve">C2. The same deviation recurs in the scope and in the operational terms</w:t>
      </w:r>
    </w:p>
    <w:p>
      <w:pPr>
        <w:spacing w:after="80" w:before="160" w:line="240" w:lineRule="auto"/>
        <w:jc w:val="left"/>
      </w:pPr>
      <w:r>
        <w:rPr>
          <w:rFonts w:ascii="Times New Roman" w:cs="Times New Roman" w:eastAsia="Times New Roman" w:hAnsi="Times New Roman"/>
          <w:sz w:val="24"/>
          <w:szCs w:val="24"/>
        </w:rPr>
        <w:t xml:space="preserve">Table 1: Occurrences of the Malaria Reference Outside Section 1.3</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581"/>
        <w:gridCol w:w="4569"/>
        <w:gridCol w:w="2636"/>
      </w:tblGrid>
      <w:tr>
        <w:trPr>
          <w:tblHeader/>
        </w:trPr>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456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Current wording</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Suggested minimal edit</w:t>
            </w:r>
          </w:p>
        </w:tc>
      </w:tr>
      <w:tr>
        <w:tc>
          <w:tcPr>
            <w:tcW w:type="dxa" w:w="1581"/>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§1.6 Scope</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"...diagnostics in malaria and typhoid fever prevalent and resource-scarce environments"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Delete "malaria and"</w:t>
            </w:r>
          </w:p>
        </w:tc>
      </w:tr>
      <w:tr>
        <w:tc>
          <w:tcPr>
            <w:tcW w:type="dxa" w:w="1581"/>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§1.7 Typhoid</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"...included in this work as the second disease for prediction and diagnosis"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Replace "the second disease" with "the disease"</w:t>
            </w:r>
          </w:p>
        </w:tc>
      </w:tr>
      <w:tr>
        <w:tc>
          <w:tcPr>
            <w:tcW w:type="dxa" w:w="1581"/>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§1.7 Diagnosis</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identification of malaria or typhoid using patient data..."</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Delete "malaria or"</w:t>
            </w:r>
          </w:p>
        </w:tc>
      </w:tr>
      <w:tr>
        <w:tc>
          <w:tcPr>
            <w:tcW w:type="dxa" w:w="1581"/>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§1.7 Learning</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 detect malaria and typhoid patterns"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Replace with "to detect typhoid patterns"</w:t>
            </w:r>
          </w:p>
        </w:tc>
      </w:tr>
      <w:tr>
        <w:tc>
          <w:tcPr>
            <w:tcW w:type="dxa" w:w="1581"/>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§1.7 Accuracy</w:t>
            </w:r>
          </w:p>
        </w:tc>
        <w:tc>
          <w:tcPr>
            <w:tcW w:type="dxa" w:w="456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"...when diagnosing malaria and typhoid"</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Replace with "when diagnosing typhoid"</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C3. The record count in Section 3.1.1 is wrong</w:t>
      </w:r>
    </w:p>
    <w:p>
      <w:pPr>
        <w:spacing w:after="160" w:line="360" w:lineRule="auto"/>
        <w:jc w:val="both"/>
      </w:pPr>
      <w:r>
        <w:rPr>
          <w:rFonts w:ascii="Times New Roman" w:cs="Times New Roman" w:eastAsia="Times New Roman" w:hAnsi="Times New Roman"/>
          <w:sz w:val="24"/>
          <w:szCs w:val="24"/>
        </w:rPr>
        <w:t xml:space="preserve">Section 3.1.1 states 31,088 patient records. The file obtained from the repository contains </w:t>
      </w:r>
      <w:r>
        <w:rPr>
          <w:rFonts w:ascii="Times New Roman" w:cs="Times New Roman" w:eastAsia="Times New Roman" w:hAnsi="Times New Roman"/>
          <w:b/>
          <w:bCs/>
          <w:sz w:val="24"/>
          <w:szCs w:val="24"/>
        </w:rPr>
        <w:t xml:space="preserve">31,087</w:t>
      </w:r>
      <w:r>
        <w:rPr>
          <w:rFonts w:ascii="Times New Roman" w:cs="Times New Roman" w:eastAsia="Times New Roman" w:hAnsi="Times New Roman"/>
          <w:sz w:val="24"/>
          <w:szCs w:val="24"/>
        </w:rPr>
        <w:t xml:space="preserve">. Chapter Four reports the correct figure, so the two chapters currently contradict each other.</w:t>
      </w:r>
    </w:p>
    <w:p>
      <w:pPr>
        <w:spacing w:after="160" w:line="360" w:lineRule="auto"/>
        <w:jc w:val="both"/>
      </w:pPr>
      <w:r>
        <w:rPr>
          <w:rFonts w:ascii="Times New Roman" w:cs="Times New Roman" w:eastAsia="Times New Roman" w:hAnsi="Times New Roman"/>
          <w:b/>
          <w:bCs/>
          <w:sz w:val="24"/>
          <w:szCs w:val="24"/>
        </w:rPr>
        <w:t xml:space="preserve">Suggested minimal edit:</w:t>
      </w:r>
      <w:r>
        <w:rPr>
          <w:rFonts w:ascii="Times New Roman" w:cs="Times New Roman" w:eastAsia="Times New Roman" w:hAnsi="Times New Roman"/>
          <w:sz w:val="24"/>
          <w:szCs w:val="24"/>
        </w:rPr>
        <w:t xml:space="preserve"> change 31,088 to 31,087.</w:t>
      </w:r>
    </w:p>
    <w:p>
      <w:pPr>
        <w:pStyle w:val="Heading3"/>
        <w:spacing w:after="100" w:before="200" w:line="360" w:lineRule="auto"/>
        <w:jc w:val="left"/>
      </w:pPr>
      <w:r>
        <w:rPr>
          <w:rFonts w:ascii="Times New Roman" w:cs="Times New Roman" w:eastAsia="Times New Roman" w:hAnsi="Times New Roman"/>
          <w:b/>
          <w:bCs/>
          <w:sz w:val="24"/>
          <w:szCs w:val="24"/>
        </w:rPr>
        <w:t xml:space="preserve">C4. Section 3.1.1 describes a binary target but calls the model multi-class</w:t>
      </w:r>
    </w:p>
    <w:p>
      <w:pPr>
        <w:spacing w:after="160" w:line="360" w:lineRule="auto"/>
        <w:jc w:val="both"/>
      </w:pPr>
      <w:r>
        <w:rPr>
          <w:rFonts w:ascii="Times New Roman" w:cs="Times New Roman" w:eastAsia="Times New Roman" w:hAnsi="Times New Roman"/>
          <w:sz w:val="24"/>
          <w:szCs w:val="24"/>
        </w:rPr>
        <w:t xml:space="preserve">Section 3.1.1 states that the target </w:t>
      </w:r>
      <w:r>
        <w:rPr>
          <w:rFonts w:ascii="Times New Roman" w:cs="Times New Roman" w:eastAsia="Times New Roman" w:hAnsi="Times New Roman"/>
          <w:i/>
          <w:iCs/>
          <w:sz w:val="24"/>
          <w:szCs w:val="24"/>
        </w:rPr>
        <w:t xml:space="preserve">"comprises two outcome classes: No (false) Typhoid, Yes (true) Typhoid, thereby enabling the development of a multi-class classification model"</w:t>
      </w:r>
      <w:r>
        <w:rPr>
          <w:rFonts w:ascii="Times New Roman" w:cs="Times New Roman" w:eastAsia="Times New Roman" w:hAnsi="Times New Roman"/>
          <w:sz w:val="24"/>
          <w:szCs w:val="24"/>
        </w:rPr>
        <w:t xml:space="preserve">. A two-class target defines a binary classification problem, not a multi-class one. The sentence contradicts itself.</w:t>
      </w:r>
    </w:p>
    <w:p>
      <w:pPr>
        <w:spacing w:after="160" w:line="360" w:lineRule="auto"/>
        <w:jc w:val="both"/>
      </w:pPr>
      <w:r>
        <w:rPr>
          <w:rFonts w:ascii="Times New Roman" w:cs="Times New Roman" w:eastAsia="Times New Roman" w:hAnsi="Times New Roman"/>
          <w:sz w:val="24"/>
          <w:szCs w:val="24"/>
        </w:rPr>
        <w:t xml:space="preserve">There is a second issue behind it. The supplied file records Typhoid Status in four clinical categories — Normal or No Typhoid, Acute Typhoid Fever, Relapsing Typhoid and Complicated Typhoid — which were collapsed into the binary target the methodology specifies. Chapter Four reports this. Chapter Three should acknowledge it so the derivation is documented.</w:t>
      </w:r>
    </w:p>
    <w:p>
      <w:pPr>
        <w:spacing w:after="160" w:line="360" w:lineRule="auto"/>
        <w:jc w:val="both"/>
      </w:pPr>
      <w:r>
        <w:rPr>
          <w:rFonts w:ascii="Times New Roman" w:cs="Times New Roman" w:eastAsia="Times New Roman" w:hAnsi="Times New Roman"/>
          <w:b/>
          <w:bCs/>
          <w:sz w:val="24"/>
          <w:szCs w:val="24"/>
        </w:rPr>
        <w:t xml:space="preserve">Suggested minimal edit:</w:t>
      </w:r>
      <w:r>
        <w:rPr>
          <w:rFonts w:ascii="Times New Roman" w:cs="Times New Roman" w:eastAsia="Times New Roman" w:hAnsi="Times New Roman"/>
          <w:sz w:val="24"/>
          <w:szCs w:val="24"/>
        </w:rPr>
        <w:t xml:space="preserve"> replace </w:t>
      </w:r>
      <w:r>
        <w:rPr>
          <w:rFonts w:ascii="Times New Roman" w:cs="Times New Roman" w:eastAsia="Times New Roman" w:hAnsi="Times New Roman"/>
          <w:i/>
          <w:iCs/>
          <w:sz w:val="24"/>
          <w:szCs w:val="24"/>
        </w:rPr>
        <w:t xml:space="preserve">"thereby enabling the development of a multi-class classification model capable of distinguishing healthy individuals from different clinical manifestations of typhoid fever"</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"thereby defining a binary classification problem. The supplied file records this variable in four clinical categories, which are collapsed into the two diagnostic classes above."</w:t>
      </w:r>
    </w:p>
    <w:p>
      <w:pPr>
        <w:pStyle w:val="Heading3"/>
        <w:spacing w:after="100" w:before="200" w:line="360" w:lineRule="auto"/>
        <w:jc w:val="left"/>
      </w:pPr>
      <w:r>
        <w:rPr>
          <w:rFonts w:ascii="Times New Roman" w:cs="Times New Roman" w:eastAsia="Times New Roman" w:hAnsi="Times New Roman"/>
          <w:b/>
          <w:bCs/>
          <w:sz w:val="24"/>
          <w:szCs w:val="24"/>
        </w:rPr>
        <w:t xml:space="preserve">C5. The resampling technique is named incorrectly</w:t>
      </w:r>
    </w:p>
    <w:p>
      <w:pPr>
        <w:spacing w:after="160" w:line="360" w:lineRule="auto"/>
        <w:jc w:val="both"/>
      </w:pPr>
      <w:r>
        <w:rPr>
          <w:rFonts w:ascii="Times New Roman" w:cs="Times New Roman" w:eastAsia="Times New Roman" w:hAnsi="Times New Roman"/>
          <w:sz w:val="24"/>
          <w:szCs w:val="24"/>
        </w:rPr>
        <w:t xml:space="preserve">Sections 3.2.1, 3.2.3 and 3.2.4 name SMOTE. The implementation uses </w:t>
      </w:r>
      <w:r>
        <w:rPr>
          <w:rFonts w:ascii="Times New Roman" w:cs="Times New Roman" w:eastAsia="Times New Roman" w:hAnsi="Times New Roman"/>
          <w:b/>
          <w:bCs/>
          <w:sz w:val="24"/>
          <w:szCs w:val="24"/>
        </w:rPr>
        <w:t xml:space="preserve">SMOTENC</w:t>
      </w:r>
      <w:r>
        <w:rPr>
          <w:rFonts w:ascii="Times New Roman" w:cs="Times New Roman" w:eastAsia="Times New Roman" w:hAnsi="Times New Roman"/>
          <w:sz w:val="24"/>
          <w:szCs w:val="24"/>
        </w:rPr>
        <w:t xml:space="preserve">, the variant for nominal and continuous features. This is not a trivial relabelling. Standard SMOTE interpolates between neighbouring records in a purely numeric space; applied to one-hot encoded categorical attributes it generates fractional values corresponding to no real category. Sixteen of the twenty modelling attributes here are categorical, so SMOTENC is the correct choice and standard SMOTE would have been a methodological error.</w:t>
      </w:r>
    </w:p>
    <w:p>
      <w:pPr>
        <w:spacing w:after="160" w:line="360" w:lineRule="auto"/>
        <w:jc w:val="both"/>
      </w:pPr>
      <w:r>
        <w:rPr>
          <w:rFonts w:ascii="Times New Roman" w:cs="Times New Roman" w:eastAsia="Times New Roman" w:hAnsi="Times New Roman"/>
          <w:b/>
          <w:bCs/>
          <w:sz w:val="24"/>
          <w:szCs w:val="24"/>
        </w:rPr>
        <w:t xml:space="preserve">Suggested minimal edit:</w:t>
      </w:r>
      <w:r>
        <w:rPr>
          <w:rFonts w:ascii="Times New Roman" w:cs="Times New Roman" w:eastAsia="Times New Roman" w:hAnsi="Times New Roman"/>
          <w:sz w:val="24"/>
          <w:szCs w:val="24"/>
        </w:rPr>
        <w:t xml:space="preserve"> replace "SMOTE" with "SMOTENC (SMOTE for Nominal and Continuous features)" at first mention, and "SMOTENC" thereafter. Naming the correct variant strengthens the methodology rather than weakening it.</w:t>
      </w:r>
    </w:p>
    <w:p>
      <w:pPr>
        <w:pStyle w:val="Heading3"/>
        <w:spacing w:after="100" w:before="200" w:line="360" w:lineRule="auto"/>
        <w:jc w:val="left"/>
      </w:pPr>
      <w:r>
        <w:rPr>
          <w:rFonts w:ascii="Times New Roman" w:cs="Times New Roman" w:eastAsia="Times New Roman" w:hAnsi="Times New Roman"/>
          <w:b/>
          <w:bCs/>
          <w:sz w:val="24"/>
          <w:szCs w:val="24"/>
        </w:rPr>
        <w:t xml:space="preserve">C6. The loss function attributed to the model is the wrong one</w:t>
      </w:r>
    </w:p>
    <w:p>
      <w:pPr>
        <w:spacing w:after="160" w:line="360" w:lineRule="auto"/>
        <w:jc w:val="both"/>
      </w:pPr>
      <w:r>
        <w:rPr>
          <w:rFonts w:ascii="Times New Roman" w:cs="Times New Roman" w:eastAsia="Times New Roman" w:hAnsi="Times New Roman"/>
          <w:sz w:val="24"/>
          <w:szCs w:val="24"/>
        </w:rPr>
        <w:t xml:space="preserve">Section 3.2.1.1 states that the loss ℒ is </w:t>
      </w:r>
      <w:r>
        <w:rPr>
          <w:rFonts w:ascii="Times New Roman" w:cs="Times New Roman" w:eastAsia="Times New Roman" w:hAnsi="Times New Roman"/>
          <w:i/>
          <w:iCs/>
          <w:sz w:val="24"/>
          <w:szCs w:val="24"/>
        </w:rPr>
        <w:t xml:space="preserve">"commonly cross-entropy loss"</w:t>
      </w:r>
      <w:r>
        <w:rPr>
          <w:rFonts w:ascii="Times New Roman" w:cs="Times New Roman" w:eastAsia="Times New Roman" w:hAnsi="Times New Roman"/>
          <w:sz w:val="24"/>
          <w:szCs w:val="24"/>
        </w:rPr>
        <w:t xml:space="preserve">. A Support Vector Machine does not minimise cross-entropy. It minimises a regularised </w:t>
      </w:r>
      <w:r>
        <w:rPr>
          <w:rFonts w:ascii="Times New Roman" w:cs="Times New Roman" w:eastAsia="Times New Roman" w:hAnsi="Times New Roman"/>
          <w:b/>
          <w:bCs/>
          <w:sz w:val="24"/>
          <w:szCs w:val="24"/>
        </w:rPr>
        <w:t xml:space="preserve">hinge loss</w:t>
      </w:r>
      <w:r>
        <w:rPr>
          <w:rFonts w:ascii="Times New Roman" w:cs="Times New Roman" w:eastAsia="Times New Roman" w:hAnsi="Times New Roman"/>
          <w:sz w:val="24"/>
          <w:szCs w:val="24"/>
        </w:rPr>
        <w:t xml:space="preserve">, which is what gives the method its maximum-margin property and its dependence on support vectors. Cross-entropy is the loss of logistic regression and of neural network classifiers. As written, the mathematical model describes a different algorithm from the one used.</w:t>
      </w:r>
    </w:p>
    <w:p>
      <w:pPr>
        <w:spacing w:after="160" w:line="360" w:lineRule="auto"/>
        <w:jc w:val="both"/>
      </w:pPr>
      <w:r>
        <w:rPr>
          <w:rFonts w:ascii="Times New Roman" w:cs="Times New Roman" w:eastAsia="Times New Roman" w:hAnsi="Times New Roman"/>
          <w:b/>
          <w:bCs/>
          <w:sz w:val="24"/>
          <w:szCs w:val="24"/>
        </w:rPr>
        <w:t xml:space="preserve">Suggested minimal edit:</w:t>
      </w:r>
      <w:r>
        <w:rPr>
          <w:rFonts w:ascii="Times New Roman" w:cs="Times New Roman" w:eastAsia="Times New Roman" w:hAnsi="Times New Roman"/>
          <w:sz w:val="24"/>
          <w:szCs w:val="24"/>
        </w:rPr>
        <w:t xml:space="preserve"> replace "(e.g., cross-entropy loss)" with "(for a Support Vector Machine, the regularised hinge loss)".</w:t>
      </w:r>
    </w:p>
    <w:p>
      <w:pPr>
        <w:pStyle w:val="Heading3"/>
        <w:spacing w:after="100" w:before="200" w:line="360" w:lineRule="auto"/>
        <w:jc w:val="left"/>
      </w:pPr>
      <w:r>
        <w:rPr>
          <w:rFonts w:ascii="Times New Roman" w:cs="Times New Roman" w:eastAsia="Times New Roman" w:hAnsi="Times New Roman"/>
          <w:b/>
          <w:bCs/>
          <w:sz w:val="24"/>
          <w:szCs w:val="24"/>
        </w:rPr>
        <w:t xml:space="preserve">C7. Chapter Three does not document the exclusion of two attributes</w:t>
      </w:r>
    </w:p>
    <w:p>
      <w:pPr>
        <w:spacing w:after="160" w:line="360" w:lineRule="auto"/>
        <w:jc w:val="both"/>
      </w:pPr>
      <w:r>
        <w:rPr>
          <w:rFonts w:ascii="Times New Roman" w:cs="Times New Roman" w:eastAsia="Times New Roman" w:hAnsi="Times New Roman"/>
          <w:sz w:val="24"/>
          <w:szCs w:val="24"/>
        </w:rPr>
        <w:t xml:space="preserve">Two attributes were withheld from every model: </w:t>
      </w:r>
      <w:r>
        <w:rPr>
          <w:rFonts w:ascii="Times New Roman" w:cs="Times New Roman" w:eastAsia="Times New Roman" w:hAnsi="Times New Roman"/>
          <w:b/>
          <w:bCs/>
          <w:sz w:val="24"/>
          <w:szCs w:val="24"/>
        </w:rPr>
        <w:t xml:space="preserve">Blood Culture Result</w:t>
      </w:r>
      <w:r>
        <w:rPr>
          <w:rFonts w:ascii="Times New Roman" w:cs="Times New Roman" w:eastAsia="Times New Roman" w:hAnsi="Times New Roman"/>
          <w:sz w:val="24"/>
          <w:szCs w:val="24"/>
        </w:rPr>
        <w:t xml:space="preserve">, which is the confirmatory gold standard and mirrors the label almost exactly (Cramér's V = 0.9999), and </w:t>
      </w:r>
      <w:r>
        <w:rPr>
          <w:rFonts w:ascii="Times New Roman" w:cs="Times New Roman" w:eastAsia="Times New Roman" w:hAnsi="Times New Roman"/>
          <w:b/>
          <w:bCs/>
          <w:sz w:val="24"/>
          <w:szCs w:val="24"/>
        </w:rPr>
        <w:t xml:space="preserve">Complications</w:t>
      </w:r>
      <w:r>
        <w:rPr>
          <w:rFonts w:ascii="Times New Roman" w:cs="Times New Roman" w:eastAsia="Times New Roman" w:hAnsi="Times New Roman"/>
          <w:sz w:val="24"/>
          <w:szCs w:val="24"/>
        </w:rPr>
        <w:t xml:space="preserve">, which encodes post-diagnostic severity and is absent for 96.98% of records. Both exclusions are essential to the validity of every figure in Chapter Four, and neither is mentioned anywhere in Chapter Three.</w:t>
      </w:r>
    </w:p>
    <w:p>
      <w:pPr>
        <w:spacing w:after="160" w:line="360" w:lineRule="auto"/>
        <w:jc w:val="both"/>
      </w:pPr>
      <w:r>
        <w:rPr>
          <w:rFonts w:ascii="Times New Roman" w:cs="Times New Roman" w:eastAsia="Times New Roman" w:hAnsi="Times New Roman"/>
          <w:sz w:val="24"/>
          <w:szCs w:val="24"/>
        </w:rPr>
        <w:t xml:space="preserve">This is an omission rather than an error, but it is the most consequential one. A reader of Chapter Three alone would expect all 22 predictors to have been used, and would reasonably ask why the reported accuracy is not higher. An examiner who noticed that a blood culture result was available and unused would ask the question directly.</w:t>
      </w:r>
    </w:p>
    <w:p>
      <w:pPr>
        <w:spacing w:after="160" w:line="360" w:lineRule="auto"/>
        <w:jc w:val="both"/>
      </w:pPr>
      <w:r>
        <w:rPr>
          <w:rFonts w:ascii="Times New Roman" w:cs="Times New Roman" w:eastAsia="Times New Roman" w:hAnsi="Times New Roman"/>
          <w:b/>
          <w:bCs/>
          <w:sz w:val="24"/>
          <w:szCs w:val="24"/>
        </w:rPr>
        <w:t xml:space="preserve">Suggested minimal addition:</w:t>
      </w:r>
      <w:r>
        <w:rPr>
          <w:rFonts w:ascii="Times New Roman" w:cs="Times New Roman" w:eastAsia="Times New Roman" w:hAnsi="Times New Roman"/>
          <w:sz w:val="24"/>
          <w:szCs w:val="24"/>
        </w:rPr>
        <w:t xml:space="preserve"> one short paragraph at the end of Section 3.2.1, for example:</w:t>
      </w:r>
    </w:p>
    <w:p>
      <w:pPr>
        <w:spacing w:after="160" w:line="360" w:lineRule="auto"/>
        <w:ind w:left="567"/>
        <w:jc w:val="both"/>
      </w:pPr>
      <w:r>
        <w:rPr>
          <w:rFonts w:ascii="Times New Roman" w:cs="Times New Roman" w:eastAsia="Times New Roman" w:hAnsi="Times New Roman"/>
          <w:sz w:val="24"/>
          <w:szCs w:val="24"/>
        </w:rPr>
        <w:t xml:space="preserve">"Two attributes are withheld from the feature space. Blood Culture Result is the confirmatory gold standard for typhoid diagnosis; a model consuming it would restate a completed laboratory workup rather than predict a diagnosis. Complications encodes post-diagnostic severity, is unavailable at the point of clinical decision, and is missing for 96.98% of records. Excluding both ensures the model is evaluated as a decision-support instrument rather than as a restatement of a diagnosis already made."</w:t>
      </w:r>
    </w:p>
    <w:p>
      <w:pPr>
        <w:pStyle w:val="Heading2"/>
        <w:spacing w:after="120" w:before="240" w:line="360" w:lineRule="auto"/>
        <w:jc w:val="left"/>
      </w:pPr>
      <w:r>
        <w:rPr>
          <w:rFonts w:ascii="Times New Roman" w:cs="Times New Roman" w:eastAsia="Times New Roman" w:hAnsi="Times New Roman"/>
          <w:b/>
          <w:bCs/>
          <w:sz w:val="24"/>
          <w:szCs w:val="24"/>
        </w:rPr>
        <w:t xml:space="preserve">Advisory Findings</w:t>
      </w:r>
    </w:p>
    <w:p>
      <w:pPr>
        <w:pStyle w:val="Heading3"/>
        <w:spacing w:after="100" w:before="200" w:line="360" w:lineRule="auto"/>
        <w:jc w:val="left"/>
      </w:pPr>
      <w:r>
        <w:rPr>
          <w:rFonts w:ascii="Times New Roman" w:cs="Times New Roman" w:eastAsia="Times New Roman" w:hAnsi="Times New Roman"/>
          <w:b/>
          <w:bCs/>
          <w:sz w:val="24"/>
          <w:szCs w:val="24"/>
        </w:rPr>
        <w:t xml:space="preserve">A1. Citations that do not resolve to the reference list</w:t>
      </w:r>
    </w:p>
    <w:p>
      <w:pPr>
        <w:spacing w:after="160" w:line="360" w:lineRule="auto"/>
        <w:jc w:val="both"/>
      </w:pPr>
      <w:r>
        <w:rPr>
          <w:rFonts w:ascii="Times New Roman" w:cs="Times New Roman" w:eastAsia="Times New Roman" w:hAnsi="Times New Roman"/>
          <w:sz w:val="24"/>
          <w:szCs w:val="24"/>
        </w:rPr>
        <w:t xml:space="preserve">The following works are cited in the text but do not appear in the reference list, or appear there under a different year. Under APA 7th edition every in-text citation must have a corresponding entry.</w:t>
      </w:r>
    </w:p>
    <w:p>
      <w:pPr>
        <w:spacing w:after="80" w:before="160" w:line="240" w:lineRule="auto"/>
        <w:jc w:val="left"/>
      </w:pPr>
      <w:r>
        <w:rPr>
          <w:rFonts w:ascii="Times New Roman" w:cs="Times New Roman" w:eastAsia="Times New Roman" w:hAnsi="Times New Roman"/>
          <w:sz w:val="24"/>
          <w:szCs w:val="24"/>
        </w:rPr>
        <w:t xml:space="preserve">Table 2: Unresolved and Mismatched Citations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1933"/>
        <w:gridCol w:w="4745"/>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In-text citation</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47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Issue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Carrozza et al. (2022)</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Figure 2.1 caption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in the reference list</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Omar et al. (2021)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§1.2</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in the reference list</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Olawoye et al. (2023)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§1.2</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in the reference list. Olawoye appears only as a co-author of Uwanibe et al. (2023); the citation was probably intended to be Uwanibe et al. (2023)</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Oluwatobi and Ibrahim (2023)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in the reference list</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Gao et al. (2019)</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§2.1.1, §2.1.2 (several)</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list carries Gao, Wang and Zhang (2020). Year mismatch</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Zhou et al. (2020)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§2.1.2</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list carries Zhou, Wei and Liu (2021). Year mismatch</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Hasan et al. (2021)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§1.1, §1.2, §2.4</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work has two authors (Hasan and Farooqui). APA requires both names, never "et al."</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Tegene et al. (2025)</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§1.4</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work has two authors (Tegene and Eshetie). APA requires both names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Asuquo et al.</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 and Table 2.1</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Asuquo is a co-author of Attai et al. (2024). Cite as Attai et al. (2024)</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Crump (2015)</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§1.1</w:t>
            </w:r>
          </w:p>
        </w:tc>
        <w:tc>
          <w:tcPr>
            <w:tcW w:type="dxa" w:w="47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Missing "et al." and the a/b suffix. The list carries Crump et al. (2015a) and (2015b)</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A2. The disease burden figure is inconsistent between two sections</w:t>
      </w:r>
    </w:p>
    <w:p>
      <w:pPr>
        <w:spacing w:after="160" w:line="360" w:lineRule="auto"/>
        <w:jc w:val="both"/>
      </w:pPr>
      <w:r>
        <w:rPr>
          <w:rFonts w:ascii="Times New Roman" w:cs="Times New Roman" w:eastAsia="Times New Roman" w:hAnsi="Times New Roman"/>
          <w:sz w:val="24"/>
          <w:szCs w:val="24"/>
        </w:rPr>
        <w:t xml:space="preserve">Section 1.1 states </w:t>
      </w:r>
      <w:r>
        <w:rPr>
          <w:rFonts w:ascii="Times New Roman" w:cs="Times New Roman" w:eastAsia="Times New Roman" w:hAnsi="Times New Roman"/>
          <w:i/>
          <w:iCs/>
          <w:sz w:val="24"/>
          <w:szCs w:val="24"/>
        </w:rPr>
        <w:t xml:space="preserve">"21 million cases and 200,000 deaths every year"</w:t>
      </w:r>
      <w:r>
        <w:rPr>
          <w:rFonts w:ascii="Times New Roman" w:cs="Times New Roman" w:eastAsia="Times New Roman" w:hAnsi="Times New Roman"/>
          <w:sz w:val="24"/>
          <w:szCs w:val="24"/>
        </w:rPr>
        <w:t xml:space="preserve">. Section 1.4 states </w:t>
      </w:r>
      <w:r>
        <w:rPr>
          <w:rFonts w:ascii="Times New Roman" w:cs="Times New Roman" w:eastAsia="Times New Roman" w:hAnsi="Times New Roman"/>
          <w:i/>
          <w:iCs/>
          <w:sz w:val="24"/>
          <w:szCs w:val="24"/>
        </w:rPr>
        <w:t xml:space="preserve">"an estimated 20 million cases and 200,000 deaths yearly"</w:t>
      </w:r>
      <w:r>
        <w:rPr>
          <w:rFonts w:ascii="Times New Roman" w:cs="Times New Roman" w:eastAsia="Times New Roman" w:hAnsi="Times New Roman"/>
          <w:sz w:val="24"/>
          <w:szCs w:val="24"/>
        </w:rPr>
        <w:t xml:space="preserve">. Both cite Crump et al. (2015). One figure should be chosen and used consistently.</w:t>
      </w:r>
    </w:p>
    <w:p>
      <w:pPr>
        <w:pStyle w:val="Heading3"/>
        <w:spacing w:after="100" w:before="200" w:line="360" w:lineRule="auto"/>
        <w:jc w:val="left"/>
      </w:pPr>
      <w:r>
        <w:rPr>
          <w:rFonts w:ascii="Times New Roman" w:cs="Times New Roman" w:eastAsia="Times New Roman" w:hAnsi="Times New Roman"/>
          <w:b/>
          <w:bCs/>
          <w:sz w:val="24"/>
          <w:szCs w:val="24"/>
        </w:rPr>
        <w:t xml:space="preserve">A3. Figure 2.1 is drawn from an unrelated application domain</w:t>
      </w:r>
    </w:p>
    <w:p>
      <w:pPr>
        <w:spacing w:after="160" w:line="360" w:lineRule="auto"/>
        <w:jc w:val="both"/>
      </w:pPr>
      <w:r>
        <w:rPr>
          <w:rFonts w:ascii="Times New Roman" w:cs="Times New Roman" w:eastAsia="Times New Roman" w:hAnsi="Times New Roman"/>
          <w:sz w:val="24"/>
          <w:szCs w:val="24"/>
        </w:rPr>
        <w:t xml:space="preserve">Figure 2.1 is captioned </w:t>
      </w:r>
      <w:r>
        <w:rPr>
          <w:rFonts w:ascii="Times New Roman" w:cs="Times New Roman" w:eastAsia="Times New Roman" w:hAnsi="Times New Roman"/>
          <w:i/>
          <w:iCs/>
          <w:sz w:val="24"/>
          <w:szCs w:val="24"/>
        </w:rPr>
        <w:t xml:space="preserve">Detection System Architecture</w:t>
      </w:r>
      <w:r>
        <w:rPr>
          <w:rFonts w:ascii="Times New Roman" w:cs="Times New Roman" w:eastAsia="Times New Roman" w:hAnsi="Times New Roman"/>
          <w:sz w:val="24"/>
          <w:szCs w:val="24"/>
        </w:rPr>
        <w:t xml:space="preserve"> and depicts a multi-agent anomaly detection engine with a Dempster–Shafer fusion module. It is not a typhoid diagnostic architecture, and its source is not in the reference list. In accordance with the instruction not to alter figures, no change has been made. The author may wish to consider whether it supports the surrounding text on diagnostic system architecture, and must in any case add the source to the reference list.</w:t>
      </w:r>
    </w:p>
    <w:p>
      <w:pPr>
        <w:pStyle w:val="Heading3"/>
        <w:spacing w:after="100" w:before="200" w:line="360" w:lineRule="auto"/>
        <w:jc w:val="left"/>
      </w:pPr>
      <w:r>
        <w:rPr>
          <w:rFonts w:ascii="Times New Roman" w:cs="Times New Roman" w:eastAsia="Times New Roman" w:hAnsi="Times New Roman"/>
          <w:b/>
          <w:bCs/>
          <w:sz w:val="24"/>
          <w:szCs w:val="24"/>
        </w:rPr>
        <w:t xml:space="preserve">A4. Outbreak forecasting is discussed at length but not implemented</w:t>
      </w:r>
    </w:p>
    <w:p>
      <w:pPr>
        <w:spacing w:after="160" w:line="360" w:lineRule="auto"/>
        <w:jc w:val="both"/>
      </w:pPr>
      <w:r>
        <w:rPr>
          <w:rFonts w:ascii="Times New Roman" w:cs="Times New Roman" w:eastAsia="Times New Roman" w:hAnsi="Times New Roman"/>
          <w:sz w:val="24"/>
          <w:szCs w:val="24"/>
        </w:rPr>
        <w:t xml:space="preserve">Section 2.1.3 and parts of Section 1.4 develop predictive analytics and outbreak forecasting in some detail. Neither the objectives nor the implementation covers outbreak forecasting, and the dataset cannot support it: it carries no temporal or incidence field, and the Location attribute is statistically independent of the diagnosis (Cramér's V = 0.0120). This creates an expectation the results cannot meet.</w:t>
      </w:r>
    </w:p>
    <w:p>
      <w:pPr>
        <w:spacing w:after="160" w:line="360" w:lineRule="auto"/>
        <w:jc w:val="both"/>
      </w:pPr>
      <w:r>
        <w:rPr>
          <w:rFonts w:ascii="Times New Roman" w:cs="Times New Roman" w:eastAsia="Times New Roman" w:hAnsi="Times New Roman"/>
          <w:sz w:val="24"/>
          <w:szCs w:val="24"/>
        </w:rPr>
        <w:t xml:space="preserve">No change is proposed to Chapter One or Two. The safer course is to state explicitly in Chapter Five that outbreak forecasting is identified as future work and is outside the scope of the present objectives. The draft Chapter Five does this.</w:t>
      </w:r>
    </w:p>
    <w:p>
      <w:pPr>
        <w:pStyle w:val="Heading3"/>
        <w:spacing w:after="100" w:before="200" w:line="360" w:lineRule="auto"/>
        <w:jc w:val="left"/>
      </w:pPr>
      <w:r>
        <w:rPr>
          <w:rFonts w:ascii="Times New Roman" w:cs="Times New Roman" w:eastAsia="Times New Roman" w:hAnsi="Times New Roman"/>
          <w:b/>
          <w:bCs/>
          <w:sz w:val="24"/>
          <w:szCs w:val="24"/>
        </w:rPr>
        <w:t xml:space="preserve">A5. Reference currency is compliant but with no margin</w:t>
      </w:r>
    </w:p>
    <w:p>
      <w:pPr>
        <w:spacing w:after="160" w:line="360" w:lineRule="auto"/>
        <w:jc w:val="both"/>
      </w:pPr>
      <w:r>
        <w:rPr>
          <w:rFonts w:ascii="Times New Roman" w:cs="Times New Roman" w:eastAsia="Times New Roman" w:hAnsi="Times New Roman"/>
          <w:sz w:val="24"/>
          <w:szCs w:val="24"/>
        </w:rPr>
        <w:t xml:space="preserve">The SPGS guidelines require references to fall within the last ten years, permitting a maximum of two older works where germane. The list carries two entries from 2015 (Crump et al., 2015a and 2015b), which uses that allowance exactly. Adding any further pre-2016 source would breach the requirement. All other entries fall between 2017 and 2026.</w:t>
      </w:r>
    </w:p>
    <w:p>
      <w:pPr>
        <w:pStyle w:val="Heading2"/>
        <w:spacing w:after="120" w:before="240" w:line="360" w:lineRule="auto"/>
        <w:jc w:val="left"/>
      </w:pPr>
      <w:r>
        <w:rPr>
          <w:rFonts w:ascii="Times New Roman" w:cs="Times New Roman" w:eastAsia="Times New Roman" w:hAnsi="Times New Roman"/>
          <w:b/>
          <w:bCs/>
          <w:sz w:val="24"/>
          <w:szCs w:val="24"/>
        </w:rPr>
        <w:t xml:space="preserve">Items Requiring No Change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four objectives in Section 1.3 are specific, measurable and achieved. Chapter Four addresses them in sequence and states against each whether it is satisfied.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80:20 stratified partition, the kernel experimentation across linear, polynomial and radial basis functions, the Grid Search with cross-validation, and the evaluation metrics in Table 3.1 are all implemented exactly as specified.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Objective 4 is met as written: the test partition was stratified by Location and the full metric set recomputed within each subgroup.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Section 3.2.6 anticipated deployment as a decision-support tool. The deployed system exceeds what that section describes, and Chapter Four documents it in Section 4.7.</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Figures 3.1, 3.2 and 3.3 correctly describe the pipeline as implemented and require no change.</w:t>
      </w:r>
    </w:p>
    <w:p>
      <w:pPr>
        <w:pStyle w:val="Heading2"/>
        <w:spacing w:after="120" w:before="240" w:line="360" w:lineRule="auto"/>
        <w:jc w:val="left"/>
      </w:pPr>
      <w:r>
        <w:rPr>
          <w:rFonts w:ascii="Times New Roman" w:cs="Times New Roman" w:eastAsia="Times New Roman" w:hAnsi="Times New Roman"/>
          <w:b/>
          <w:bCs/>
          <w:sz w:val="24"/>
          <w:szCs w:val="24"/>
        </w:rPr>
        <w:t xml:space="preserve">Summary</w:t>
      </w:r>
    </w:p>
    <w:p>
      <w:pPr>
        <w:spacing w:after="160" w:line="360" w:lineRule="auto"/>
        <w:jc w:val="both"/>
      </w:pPr>
      <w:r>
        <w:rPr>
          <w:rFonts w:ascii="Times New Roman" w:cs="Times New Roman" w:eastAsia="Times New Roman" w:hAnsi="Times New Roman"/>
          <w:sz w:val="24"/>
          <w:szCs w:val="24"/>
        </w:rPr>
        <w:t xml:space="preserve">Seven critical items and five advisory items are identified. Of the critical items, six are single-word or single-sentence corrections; only C7 requires new text, and one short paragraph is sufficient. None requires restructuring either chapter, and no figure needs to be altered.</w:t>
      </w:r>
    </w:p>
    <w:p>
      <w:pPr>
        <w:spacing w:after="160" w:line="360" w:lineRule="auto"/>
        <w:jc w:val="both"/>
      </w:pPr>
      <w:r>
        <w:rPr>
          <w:rFonts w:ascii="Times New Roman" w:cs="Times New Roman" w:eastAsia="Times New Roman" w:hAnsi="Times New Roman"/>
          <w:sz w:val="24"/>
          <w:szCs w:val="24"/>
        </w:rPr>
        <w:t xml:space="preserve">The most important of these is C1. The aim as written promises a malaria component that the thesis does not deliver, and deleting two words resolves it.</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2026-09-08T16:58:44.902Z</dcterms:created>
  <dcterms:modified xsi:type="dcterms:W3CDTF">2026-09-08T16:58:44.902Z</dcterms:modified>
</cp:coreProperties>
</file>

<file path=docProps/custom.xml><?xml version="1.0" encoding="utf-8"?>
<Properties xmlns="http://schemas.openxmlformats.org/officeDocument/2006/custom-properties" xmlns:vt="http://schemas.openxmlformats.org/officeDocument/2006/docPropsVTypes"/>
</file>