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center"/>
      </w:pPr>
      <w:r>
        <w:rPr>
          <w:rFonts w:ascii="Times New Roman" w:cs="Times New Roman" w:eastAsia="Times New Roman" w:hAnsi="Times New Roman"/>
          <w:b/>
          <w:bCs/>
          <w:sz w:val="24"/>
          <w:szCs w:val="24"/>
        </w:rPr>
        <w:t xml:space="preserve">AMENDMENT TO CHAPTER THREE — FEATURE SELECTION</w:t>
      </w:r>
    </w:p>
    <w:p>
      <w:pPr>
        <w:pStyle w:val="Heading2"/>
        <w:spacing w:after="120" w:before="240" w:line="360" w:lineRule="auto"/>
        <w:jc w:val="left"/>
      </w:pPr>
      <w:r>
        <w:rPr>
          <w:rFonts w:ascii="Times New Roman" w:cs="Times New Roman" w:eastAsia="Times New Roman" w:hAnsi="Times New Roman"/>
          <w:b/>
          <w:bCs/>
          <w:sz w:val="24"/>
          <w:szCs w:val="24"/>
        </w:rPr>
        <w:t xml:space="preserve">Where this goes</w:t>
      </w:r>
    </w:p>
    <w:p>
      <w:pPr>
        <w:spacing w:after="160" w:line="360" w:lineRule="auto"/>
        <w:jc w:val="both"/>
      </w:pPr>
      <w:r>
        <w:rPr>
          <w:rFonts w:ascii="Times New Roman" w:cs="Times New Roman" w:eastAsia="Times New Roman" w:hAnsi="Times New Roman"/>
          <w:sz w:val="24"/>
          <w:szCs w:val="24"/>
        </w:rPr>
        <w:t xml:space="preserve">Insert the text below into Section 3.1.1, immediately after the paragraph ending </w:t>
      </w:r>
      <w:r>
        <w:rPr>
          <w:rFonts w:ascii="Times New Roman" w:cs="Times New Roman" w:eastAsia="Times New Roman" w:hAnsi="Times New Roman"/>
          <w:i/>
          <w:iCs/>
          <w:sz w:val="24"/>
          <w:szCs w:val="24"/>
        </w:rPr>
        <w:t xml:space="preserve">"...a solid foundation for training a robust predictive model."</w:t>
      </w:r>
      <w:r>
        <w:rPr>
          <w:rFonts w:ascii="Times New Roman" w:cs="Times New Roman" w:eastAsia="Times New Roman" w:hAnsi="Times New Roman"/>
          <w:sz w:val="24"/>
          <w:szCs w:val="24"/>
        </w:rPr>
        <w:t xml:space="preserve"> and before Section 3.2. It is written to follow Table 3.0 and to read continuously with the preprocessing paragraph that precedes it. Nothing already in Chapter Three needs to be deleted.</w:t>
      </w:r>
    </w:p>
    <w:p>
      <w:pPr>
        <w:spacing w:after="200" w:before="40" w:line="240" w:lineRule="auto"/>
        <w:jc w:val="left"/>
      </w:pPr>
      <w:r>
        <w:rPr>
          <w:rFonts w:ascii="Times New Roman" w:cs="Times New Roman" w:eastAsia="Times New Roman" w:hAnsi="Times New Roman"/>
          <w:sz w:val="20"/>
          <w:szCs w:val="20"/>
        </w:rPr>
        <w:t xml:space="preserve">Note. Table 3.0 in Chapter Three describes all 23 attributes as supplied, which remains correct and should not be altered. The amendment records which of them reach the model.</w:t>
      </w:r>
    </w:p>
    <w:p>
      <w:pPr>
        <w:pStyle w:val="Heading2"/>
        <w:spacing w:after="120" w:before="240" w:line="360" w:lineRule="auto"/>
        <w:jc w:val="left"/>
      </w:pPr>
      <w:r>
        <w:rPr>
          <w:rFonts w:ascii="Times New Roman" w:cs="Times New Roman" w:eastAsia="Times New Roman" w:hAnsi="Times New Roman"/>
          <w:b/>
          <w:bCs/>
          <w:sz w:val="24"/>
          <w:szCs w:val="24"/>
        </w:rPr>
        <w:t xml:space="preserve">Text to insert</w:t>
      </w:r>
    </w:p>
    <w:p>
      <w:pPr>
        <w:pStyle w:val="Heading3"/>
        <w:spacing w:after="100" w:before="200" w:line="360" w:lineRule="auto"/>
        <w:jc w:val="left"/>
      </w:pPr>
      <w:r>
        <w:rPr>
          <w:rFonts w:ascii="Times New Roman" w:cs="Times New Roman" w:eastAsia="Times New Roman" w:hAnsi="Times New Roman"/>
          <w:b/>
          <w:bCs/>
          <w:sz w:val="24"/>
          <w:szCs w:val="24"/>
        </w:rPr>
        <w:t xml:space="preserve">3.1.2 Attributes retained and dropped during preprocessing</w:t>
      </w:r>
    </w:p>
    <w:p>
      <w:pPr>
        <w:spacing w:after="160" w:line="360" w:lineRule="auto"/>
        <w:ind w:left="567"/>
        <w:jc w:val="both"/>
      </w:pPr>
      <w:r>
        <w:rPr>
          <w:rFonts w:ascii="Times New Roman" w:cs="Times New Roman" w:eastAsia="Times New Roman" w:hAnsi="Times New Roman"/>
          <w:sz w:val="24"/>
          <w:szCs w:val="24"/>
        </w:rPr>
        <w:t xml:space="preserve">Not every attribute supplied with the dataset is appropriate as a model input. The aim of this study is prediction and diagnosis at the point of care in resource-limited settings, where a clinician has the patient's presenting symptoms, exposure history and prior illness history, but may have no laboratory available. An attribute that requires a laboratory investigation cannot be supplied at the moment the prediction is needed, and a model that depends on one would not be usable in the setting for which it is intended. Two further considerations apply: an attribute recorded for only some patients would require the point-of-care interface to accept an incomplete entry, and an attribute describing the wider community rather than the patient is not a clinical sign.</w:t>
      </w:r>
    </w:p>
    <w:p>
      <w:pPr>
        <w:spacing w:after="160" w:line="360" w:lineRule="auto"/>
        <w:ind w:left="567"/>
        <w:jc w:val="both"/>
      </w:pPr>
      <w:r>
        <w:rPr>
          <w:rFonts w:ascii="Times New Roman" w:cs="Times New Roman" w:eastAsia="Times New Roman" w:hAnsi="Times New Roman"/>
          <w:sz w:val="24"/>
          <w:szCs w:val="24"/>
        </w:rPr>
        <w:t xml:space="preserve">On this basis, nine of the 23 attributes were excluded during preprocessing. Two were withheld as diagnostic leakage: Blood Culture Result is the confirmatory gold standard, so a model consuming it would restate a completed laboratory workup rather than predict a diagnosis, and Complications encodes post-diagnostic severity, is unavailable at the point of decision and is absent for 96.98 per cent of records. A further seven were dropped because they do not align with prediction from presenting symptoms, as set out in Table 3.0b.</w:t>
      </w:r>
    </w:p>
    <w:p>
      <w:pPr>
        <w:spacing w:after="160" w:line="360" w:lineRule="auto"/>
        <w:ind w:left="567"/>
        <w:jc w:val="both"/>
      </w:pPr>
      <w:r>
        <w:rPr>
          <w:rFonts w:ascii="Times New Roman" w:cs="Times New Roman" w:eastAsia="Times New Roman" w:hAnsi="Times New Roman"/>
          <w:sz w:val="24"/>
          <w:szCs w:val="24"/>
        </w:rPr>
        <w:t xml:space="preserve">In addition, Neurological Symptoms was recoded as a binary Headache indicator, so that the attribute carries the symptom named in the objectives rather than a mixture of neurological presentations. A recorded value of Headache maps to Yes; Confusion, Delirium and an absent value map to No.</w:t>
      </w:r>
    </w:p>
    <w:p>
      <w:pPr>
        <w:spacing w:after="160" w:line="360" w:lineRule="auto"/>
        <w:ind w:left="567"/>
        <w:jc w:val="both"/>
      </w:pPr>
      <w:r>
        <w:rPr>
          <w:rFonts w:ascii="Times New Roman" w:cs="Times New Roman" w:eastAsia="Times New Roman" w:hAnsi="Times New Roman"/>
          <w:sz w:val="24"/>
          <w:szCs w:val="24"/>
        </w:rPr>
        <w:t xml:space="preserve">Thirteen attributes therefore form the modelling feature space: two numeric (Age and Fever Duration) and eleven categorical (Gender, Location, Socioeconomic Status, Water Source Type, Sanitation Facilities, Hand Hygiene, Consumption of Street Food, Weather Condition, Skin Manifestations, Headache and Previous History of Typhoid). Every one of these is obtainable by history and examination without laboratory support, and every one is complete for all 31,087 records, so the data entry form requires no optional field.</w:t>
      </w:r>
    </w:p>
    <w:p>
      <w:pPr>
        <w:spacing w:after="80" w:before="160" w:line="240" w:lineRule="auto"/>
        <w:jc w:val="left"/>
      </w:pPr>
      <w:r>
        <w:rPr>
          <w:rFonts w:ascii="Times New Roman" w:cs="Times New Roman" w:eastAsia="Times New Roman" w:hAnsi="Times New Roman"/>
          <w:sz w:val="24"/>
          <w:szCs w:val="24"/>
        </w:rPr>
        <w:t xml:space="preserve">Table 3.0b: Attributes Dropped During Preprocessing</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284"/>
        <w:gridCol w:w="1933"/>
        <w:gridCol w:w="4569"/>
      </w:tblGrid>
      <w:tr>
        <w:trPr>
          <w:tblHeader/>
        </w:trPr>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Category</w:t>
            </w:r>
          </w:p>
        </w:tc>
        <w:tc>
          <w:tcPr>
            <w:tcW w:type="dxa" w:w="456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Reason for exclusion</w:t>
            </w:r>
          </w:p>
        </w:tc>
      </w:tr>
      <w:tr>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Diagnostic leakage</w:t>
            </w:r>
          </w:p>
        </w:tc>
        <w:tc>
          <w:tcPr>
            <w:tcW w:type="dxa" w:w="456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The confirmatory gold standard; a model consuming it would restate a completed diagnosis rather than predict one</w:t>
            </w:r>
          </w:p>
        </w:tc>
      </w:tr>
      <w:tr>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Diagnostic leakage</w:t>
            </w:r>
          </w:p>
        </w:tc>
        <w:tc>
          <w:tcPr>
            <w:tcW w:type="dxa" w:w="456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Post-diagnostic severity, unavailable at the point of decision, absent for 96.98% of records</w:t>
            </w:r>
          </w:p>
        </w:tc>
      </w:tr>
      <w:tr>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56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Requires a haematology laboratory; not obtainable at the point of care</w:t>
            </w:r>
          </w:p>
        </w:tc>
      </w:tr>
      <w:tr>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56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Requires a haematology laboratory; not obtainable at the point of care</w:t>
            </w:r>
          </w:p>
        </w:tc>
      </w:tr>
      <w:tr>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56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Serological assay requiring laboratory support</w:t>
            </w:r>
          </w:p>
        </w:tc>
      </w:tr>
      <w:tr>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56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Serological assay requiring laboratory support</w:t>
            </w:r>
          </w:p>
        </w:tc>
      </w:tr>
      <w:tr>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Vaccination Status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a presenting sign</w:t>
            </w:r>
          </w:p>
        </w:tc>
        <w:tc>
          <w:tcPr>
            <w:tcW w:type="dxa" w:w="456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History of prophylaxis rather than of disease or presentation</w:t>
            </w:r>
          </w:p>
        </w:tc>
      </w:tr>
      <w:tr>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Incomplete recording</w:t>
            </w:r>
          </w:p>
        </w:tc>
        <w:tc>
          <w:tcPr>
            <w:tcW w:type="dxa" w:w="456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Absent for 24.96% of records, which would require an optional field at entry</w:t>
            </w:r>
          </w:p>
        </w:tc>
      </w:tr>
      <w:tr>
        <w:tc>
          <w:tcPr>
            <w:tcW w:type="dxa" w:w="228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a patient attribute</w:t>
            </w:r>
          </w:p>
        </w:tc>
        <w:tc>
          <w:tcPr>
            <w:tcW w:type="dxa" w:w="456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Describes community transmission rather than the individual patient; absent for 24.70% of records</w:t>
            </w:r>
          </w:p>
        </w:tc>
      </w:tr>
    </w:tbl>
    <w:p>
      <w:pPr>
        <w:pStyle w:val="Heading2"/>
        <w:spacing w:after="120" w:before="240" w:line="360" w:lineRule="auto"/>
        <w:jc w:val="left"/>
      </w:pPr>
      <w:r>
        <w:rPr>
          <w:rFonts w:ascii="Times New Roman" w:cs="Times New Roman" w:eastAsia="Times New Roman" w:hAnsi="Times New Roman"/>
          <w:b/>
          <w:bCs/>
          <w:sz w:val="24"/>
          <w:szCs w:val="24"/>
        </w:rPr>
        <w:t xml:space="preserve">A point to raise with your supervisor</w:t>
      </w:r>
    </w:p>
    <w:p>
      <w:pPr>
        <w:spacing w:after="160" w:line="360" w:lineRule="auto"/>
        <w:jc w:val="both"/>
      </w:pPr>
      <w:r>
        <w:rPr>
          <w:rFonts w:ascii="Times New Roman" w:cs="Times New Roman" w:eastAsia="Times New Roman" w:hAnsi="Times New Roman"/>
          <w:sz w:val="24"/>
          <w:szCs w:val="24"/>
        </w:rPr>
        <w:t xml:space="preserve">The stated principle is prediction from presenting symptoms. Six retained attributes — Socioeconomic Status, Water Source Type, Sanitation Facilities, Hand Hygiene, Consumption of Street Food and Weather Condition — are environmental exposures rather than symptoms, and a strict reading of the principle would exclude them too.</w:t>
      </w:r>
    </w:p>
    <w:p>
      <w:pPr>
        <w:spacing w:after="160" w:line="360" w:lineRule="auto"/>
        <w:jc w:val="both"/>
      </w:pPr>
      <w:r>
        <w:rPr>
          <w:rFonts w:ascii="Times New Roman" w:cs="Times New Roman" w:eastAsia="Times New Roman" w:hAnsi="Times New Roman"/>
          <w:sz w:val="24"/>
          <w:szCs w:val="24"/>
        </w:rPr>
        <w:t xml:space="preserve">They have been retained, on the grounds that typhoid transmission is genuinely water-borne and sanitation-related, that Chapter Three already describes them as part of the dataset, and that all six are obtainable by history at the point of care. The wording above is therefore "presenting symptoms, exposure history and prior illness history" rather than symptoms alone, which is both defensible and accurate to what the model uses.</w:t>
      </w:r>
    </w:p>
    <w:p>
      <w:pPr>
        <w:spacing w:after="160" w:line="360" w:lineRule="auto"/>
        <w:jc w:val="both"/>
      </w:pPr>
      <w:r>
        <w:rPr>
          <w:rFonts w:ascii="Times New Roman" w:cs="Times New Roman" w:eastAsia="Times New Roman" w:hAnsi="Times New Roman"/>
          <w:sz w:val="24"/>
          <w:szCs w:val="24"/>
        </w:rPr>
        <w:t xml:space="preserve">If the review intends symptoms only in the strict sense, the feature space would reduce to Age, Fever Duration, Gender, Skin Manifestations, Headache and Previous History of Typhoid, with Location retained solely to support Objective 4. Measured performance is identical either way, so the decision is one of framing rather than of results. It is worth settling before the chapter is finalised, because the two versions describe the dataset differently.</w:t>
      </w:r>
    </w:p>
    <w:sectPr>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rPr>
      <w:rFonts w:ascii="Times New Roman" w:cs="Times New Roman" w:eastAsia="Times New Roman" w:hAnsi="Times New Roman"/>
      <w:b/>
      <w:bCs/>
      <w:sz w:val="24"/>
      <w:szCs w:val="24"/>
    </w:rPr>
  </w:style>
  <w:style w:type="paragraph" w:styleId="Heading2">
    <w:name w:val="Heading 2"/>
    <w:basedOn w:val="Normal"/>
    <w:qFormat/>
    <w:rPr>
      <w:rFonts w:ascii="Times New Roman" w:cs="Times New Roman" w:eastAsia="Times New Roman" w:hAnsi="Times New Roman"/>
      <w:b/>
      <w:bCs/>
      <w:sz w:val="24"/>
      <w:szCs w:val="24"/>
    </w:rPr>
  </w:style>
  <w:style w:type="paragraph" w:styleId="Heading3">
    <w:name w:val="Heading 3"/>
    <w:basedOn w:val="Normal"/>
    <w:qFormat/>
    <w:rPr>
      <w:rFonts w:ascii="Times New Roman" w:cs="Times New Roman" w:eastAsia="Times New Roman" w:hAnsi="Times New Roman"/>
      <w:b/>
      <w:bCs/>
      <w:sz w:val="24"/>
      <w:szCs w:val="24"/>
    </w:rPr>
  </w:style>
  <w:style w:type="paragraph" w:styleId="Heading4">
    <w:name w:val="Heading 4"/>
    <w:basedOn w:val="Normal"/>
    <w:qFormat/>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2026-09-18T07:28:26.445Z</dcterms:created>
  <dcterms:modified xsi:type="dcterms:W3CDTF">2026-09-18T07:28:26.445Z</dcterms:modified>
</cp:coreProperties>
</file>

<file path=docProps/custom.xml><?xml version="1.0" encoding="utf-8"?>
<Properties xmlns="http://schemas.openxmlformats.org/officeDocument/2006/custom-properties" xmlns:vt="http://schemas.openxmlformats.org/officeDocument/2006/docPropsVTypes"/>
</file>