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lineRule="auto"/>
        <w:jc w:val="center"/>
      </w:pPr>
      <w:r>
        <w:rPr>
          <w:rFonts w:ascii="Times New Roman" w:cs="Times New Roman" w:eastAsia="Times New Roman" w:hAnsi="Times New Roman"/>
          <w:b/>
          <w:bCs/>
          <w:sz w:val="24"/>
          <w:szCs w:val="24"/>
        </w:rPr>
        <w:t xml:space="preserve">CHAPTER FIVE</w:t>
      </w:r>
    </w:p>
    <w:p>
      <w:pPr>
        <w:spacing w:after="240" w:line="360" w:lineRule="auto"/>
        <w:jc w:val="center"/>
      </w:pPr>
      <w:r>
        <w:rPr>
          <w:rFonts w:ascii="Times New Roman" w:cs="Times New Roman" w:eastAsia="Times New Roman" w:hAnsi="Times New Roman"/>
          <w:b/>
          <w:bCs/>
          <w:sz w:val="24"/>
          <w:szCs w:val="24"/>
        </w:rPr>
        <w:t xml:space="preserve">SUMMARY, CONCLUSION AND RECOMMENDATIONS</w:t>
      </w:r>
    </w:p>
    <w:p>
      <w:pPr>
        <w:pStyle w:val="Heading2"/>
        <w:spacing w:after="120" w:before="240" w:line="360" w:lineRule="auto"/>
        <w:jc w:val="left"/>
      </w:pPr>
      <w:r>
        <w:rPr>
          <w:rFonts w:ascii="Times New Roman" w:cs="Times New Roman" w:eastAsia="Times New Roman" w:hAnsi="Times New Roman"/>
          <w:b/>
          <w:bCs/>
          <w:sz w:val="24"/>
          <w:szCs w:val="24"/>
        </w:rPr>
        <w:t xml:space="preserve">5.1 Introduction</w:t>
      </w:r>
    </w:p>
    <w:p>
      <w:pPr>
        <w:spacing w:after="160" w:line="360" w:lineRule="auto"/>
        <w:jc w:val="both"/>
      </w:pPr>
      <w:r>
        <w:rPr>
          <w:rFonts w:ascii="Times New Roman" w:cs="Times New Roman" w:eastAsia="Times New Roman" w:hAnsi="Times New Roman"/>
          <w:sz w:val="24"/>
          <w:szCs w:val="24"/>
        </w:rPr>
        <w:t xml:space="preserve">This chapter draws the study to a close. Section 5.2 summarises how the work was conducted from beginning to end. Section 5.3 states the major findings. Section 5.4 sets out the conclusions in relation to the aim and the four specific objectives. Section 5.5 states the contribution the work makes to existing knowledge. Section 5.6 offers recommendations to the beneficiaries identified in Section 1.5, and Section 5.7 suggests directions for further study.</w:t>
      </w:r>
    </w:p>
    <w:p>
      <w:pPr>
        <w:pStyle w:val="Heading2"/>
        <w:spacing w:after="120" w:before="240" w:line="360" w:lineRule="auto"/>
        <w:jc w:val="left"/>
      </w:pPr>
      <w:r>
        <w:rPr>
          <w:rFonts w:ascii="Times New Roman" w:cs="Times New Roman" w:eastAsia="Times New Roman" w:hAnsi="Times New Roman"/>
          <w:b/>
          <w:bCs/>
          <w:sz w:val="24"/>
          <w:szCs w:val="24"/>
        </w:rPr>
        <w:t xml:space="preserve">5.2 Summary of the Study</w:t>
      </w:r>
    </w:p>
    <w:p>
      <w:pPr>
        <w:spacing w:after="160" w:line="360" w:lineRule="auto"/>
        <w:jc w:val="both"/>
      </w:pPr>
      <w:r>
        <w:rPr>
          <w:rFonts w:ascii="Times New Roman" w:cs="Times New Roman" w:eastAsia="Times New Roman" w:hAnsi="Times New Roman"/>
          <w:sz w:val="24"/>
          <w:szCs w:val="24"/>
        </w:rPr>
        <w:t xml:space="preserve">The purpose of this study was to develop and evaluate a machine learning model, using the Support Vector Machine, for the rapid and accurate prediction and diagnosis of typhoid fever, particularly in resource-limited settings. The study was motivated by the persistence of delayed and inaccurate typhoid diagnosis in low-resource healthcare environments, where blood culture is slow and infrastructure-dependent and the Widal test suffers from poor sensitivity and specificity in populations with prior exposure.</w:t>
      </w:r>
    </w:p>
    <w:p>
      <w:pPr>
        <w:spacing w:after="160" w:line="360" w:lineRule="auto"/>
        <w:jc w:val="both"/>
      </w:pPr>
      <w:r>
        <w:rPr>
          <w:rFonts w:ascii="Times New Roman" w:cs="Times New Roman" w:eastAsia="Times New Roman" w:hAnsi="Times New Roman"/>
          <w:sz w:val="24"/>
          <w:szCs w:val="24"/>
        </w:rPr>
        <w:t xml:space="preserve">The research followed an experimental and computational design. A typhoid dataset of 31,087 patient records described by 23 attributes was obtained from Kaggle. The attributes span patient demographics, environmental risk factors, presenting clinical symptoms, haematological measurements, serological test results, vaccination history and prior infection history, with Typhoid Status as the target.</w:t>
      </w:r>
    </w:p>
    <w:p>
      <w:pPr>
        <w:spacing w:after="160" w:line="360" w:lineRule="auto"/>
        <w:jc w:val="both"/>
      </w:pPr>
      <w:r>
        <w:rPr>
          <w:rFonts w:ascii="Times New Roman" w:cs="Times New Roman" w:eastAsia="Times New Roman" w:hAnsi="Times New Roman"/>
          <w:sz w:val="24"/>
          <w:szCs w:val="24"/>
        </w:rPr>
        <w:t xml:space="preserve">The data were preprocessed by imputing missing values, ordinal-encoding categorical attributes, standardising numeric attributes and balancing the classes using SMOTENC applied within the modelling pipeline so that resampling could not leak across the partition boundary. Two attributes — Blood Culture Result and Complications — were withheld from the feature space because the first is the confirmatory gold standard and the second is unavailable at the point of clinical decision. The preprocessed data were partitioned 80:20 with stratification, giving 24,869 training and 6,218 test records.</w:t>
      </w:r>
    </w:p>
    <w:p>
      <w:pPr>
        <w:spacing w:after="160" w:line="360" w:lineRule="auto"/>
        <w:jc w:val="both"/>
      </w:pPr>
      <w:r>
        <w:rPr>
          <w:rFonts w:ascii="Times New Roman" w:cs="Times New Roman" w:eastAsia="Times New Roman" w:hAnsi="Times New Roman"/>
          <w:sz w:val="24"/>
          <w:szCs w:val="24"/>
        </w:rPr>
        <w:t xml:space="preserve">Three kernel functions were compared, and 24 candidate configurations were evaluated by Grid Search under three-fold stratified cross-validation, selecting on macro F1. The probability outputs of the selected model were calibrated by Platt scaling fitted out of fold. The final model was evaluated on the held-out partition using accuracy, precision, recall, F1 score, specificity, false positive and false negative rates, ROC AUC and inference latency, together with confusion matrices. Performance was additionally recomputed within each geographic subgroup defined by the Location attribute.</w:t>
      </w:r>
    </w:p>
    <w:p>
      <w:pPr>
        <w:spacing w:after="160" w:line="360" w:lineRule="auto"/>
        <w:jc w:val="both"/>
      </w:pPr>
      <w:r>
        <w:rPr>
          <w:rFonts w:ascii="Times New Roman" w:cs="Times New Roman" w:eastAsia="Times New Roman" w:hAnsi="Times New Roman"/>
          <w:sz w:val="24"/>
          <w:szCs w:val="24"/>
        </w:rPr>
        <w:t xml:space="preserve">A signal audit was then conducted, comparing the optimised model against three reference classifiers, measuring the statistical association between every attribute and the diagnosis, and performing an ablation study. Two further public typhoid datasets were obtained and subjected to the identical audit. Finally, the optimised model was deployed as a live, authenticated, role-based clinical decision-support application, verified by 168 automated tests and by a ten-case user acceptance test conducted against the deployed instance.</w:t>
      </w:r>
    </w:p>
    <w:p>
      <w:pPr>
        <w:pStyle w:val="Heading2"/>
        <w:spacing w:after="120" w:before="240" w:line="360" w:lineRule="auto"/>
        <w:jc w:val="left"/>
      </w:pPr>
      <w:r>
        <w:rPr>
          <w:rFonts w:ascii="Times New Roman" w:cs="Times New Roman" w:eastAsia="Times New Roman" w:hAnsi="Times New Roman"/>
          <w:b/>
          <w:bCs/>
          <w:sz w:val="24"/>
          <w:szCs w:val="24"/>
        </w:rPr>
        <w:t xml:space="preserve">5.3 Summary of Major Findings</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A typhoid dataset was successfully collected and preprocessed.</w:t>
      </w:r>
      <w:r>
        <w:rPr>
          <w:rFonts w:ascii="Times New Roman" w:cs="Times New Roman" w:eastAsia="Times New Roman" w:hAnsi="Times New Roman"/>
          <w:sz w:val="24"/>
          <w:szCs w:val="24"/>
        </w:rPr>
        <w:t xml:space="preserve"> The dataset comprised 31,087 records and 23 attributes with no duplicates. Four attributes carried missing values, three of them for approximately one quarter of records.</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The feature space was reduced to what a clinician can obtain at the point of care.</w:t>
      </w:r>
      <w:r>
        <w:rPr>
          <w:rFonts w:ascii="Times New Roman" w:cs="Times New Roman" w:eastAsia="Times New Roman" w:hAnsi="Times New Roman"/>
          <w:sz w:val="24"/>
          <w:szCs w:val="24"/>
        </w:rPr>
        <w:t xml:space="preserve"> Two attributes were withheld as diagnostic leakage and a further seven were dropped during preprocessing at supervisory review: the haematology and serology because they require a laboratory that a resource-limited setting may not have, two optional symptom fields because a quarter of records lack them, vaccination status because it is history of prophylaxis rather than of disease, and ongoing infection in society because it describes the community rather than the patient. Neurological Symptoms was recoded as a binary Headache indicator. Thirteen attributes therefore formed the modelling feature space, every one obtainable by history and examination and every one complete for all 31,087 records, so the deployed assessment form carries no optional field.</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A Support Vector Machine model was designed and optimised.</w:t>
      </w:r>
      <w:r>
        <w:rPr>
          <w:rFonts w:ascii="Times New Roman" w:cs="Times New Roman" w:eastAsia="Times New Roman" w:hAnsi="Times New Roman"/>
          <w:sz w:val="24"/>
          <w:szCs w:val="24"/>
        </w:rPr>
        <w:t xml:space="preserve"> The linear kernel produced the strongest performance at default settings, and Grid Search over 24 configurations confirmed that choice, selecting a linear kernel with C = 0.1 and achieving a cross-validated macro F1 of 0.9842. The three kernels differed by less than one percentage point in accuracy, indicating that the problem is insensitive to kernel choice — which is itself a symptom of the deterministic structure reported below.</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The trained model achieved high measured performance on unseen data.</w:t>
      </w:r>
      <w:r>
        <w:rPr>
          <w:rFonts w:ascii="Times New Roman" w:cs="Times New Roman" w:eastAsia="Times New Roman" w:hAnsi="Times New Roman"/>
          <w:sz w:val="24"/>
          <w:szCs w:val="24"/>
        </w:rPr>
        <w:t xml:space="preserve"> On 6,218 held-out records the model attained an accuracy of 0.9875, a balanced accuracy of 0.9792, a macro F1 of 0.9849, a sensitivity of 0.9584 and a specificity of 1.0000, with 78 false negatives and no false positives at the deployed cut-off of 0.03. Inference required 7.78 milliseconds per record, satisfying the real-time requirement of Objective 3.</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The reduction cost almost nothing in measured performance.</w:t>
      </w:r>
      <w:r>
        <w:rPr>
          <w:rFonts w:ascii="Times New Roman" w:cs="Times New Roman" w:eastAsia="Times New Roman" w:hAnsi="Times New Roman"/>
          <w:sz w:val="24"/>
          <w:szCs w:val="24"/>
        </w:rPr>
        <w:t xml:space="preserve"> The pre-review feature space of twenty attributes was retained as a comparator and attained an accuracy of 0.9881 against the deployed model’s 0.9875 — a difference of 0.06 accuracy points. Seven attributes, including both serological tests and both haematology counts, were removed at a cost smaller than the width of a rounding error. The severity stratification model is the exception: it depends on the white blood cell count, which is where severity is encoded in this dataset, and it does not survive the reduction.</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Performance was uniform across geographic settings.</w:t>
      </w:r>
      <w:r>
        <w:rPr>
          <w:rFonts w:ascii="Times New Roman" w:cs="Times New Roman" w:eastAsia="Times New Roman" w:hAnsi="Times New Roman"/>
          <w:sz w:val="24"/>
          <w:szCs w:val="24"/>
        </w:rPr>
        <w:t xml:space="preserve"> Macro F1 varied by only 0.0065 across the endemic, rural and urban subgroups, and specificity was identical at 1.0000 in all three.</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The model was successfully deployed as a live clinical decision-support application.</w:t>
      </w:r>
      <w:r>
        <w:rPr>
          <w:rFonts w:ascii="Times New Roman" w:cs="Times New Roman" w:eastAsia="Times New Roman" w:hAnsi="Times New Roman"/>
          <w:sz w:val="24"/>
          <w:szCs w:val="24"/>
        </w:rPr>
        <w:t xml:space="preserve"> The deployed system provides role-based access for clinicians, administrators and auditors, a schema-driven assessment form, calibrated probability estimates, triage recommendations, per-prediction explanations, an append-only audit trail and a programmatic interface. It operates within 0.1 CPU and 512 MB of memory. All 168 automated tests pass, and the deployed instance reproduced the expected output in all ten user acceptance test cases.</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The reported performance measures the construction of the dataset rather than diagnostic capability.</w:t>
      </w:r>
      <w:r>
        <w:rPr>
          <w:rFonts w:ascii="Times New Roman" w:cs="Times New Roman" w:eastAsia="Times New Roman" w:hAnsi="Times New Roman"/>
          <w:sz w:val="24"/>
          <w:szCs w:val="24"/>
        </w:rPr>
        <w:t xml:space="preserve"> A single threshold on Fever Duration achieves an accuracy of 0.9875 — exactly the optimised model's own figure. All 8,981 records with a fever duration of one day or more are labelled typhoid, without exception. Removing that one attribute collapses balanced accuracy to 0.4874, below the chance floor of 0.5000. The Widal and Typhidot tests are statistically independent of the diagnosis, which is not a plausible property of genuine clinical data.</w:t>
      </w:r>
    </w:p>
    <w:p>
      <w:pPr>
        <w:pStyle w:val="ListParagraph"/>
        <w:numPr>
          <w:ilvl w:val="0"/>
          <w:numId w:val="2"/>
        </w:numPr>
        <w:spacing w:after="100" w:line="360" w:lineRule="auto"/>
        <w:jc w:val="both"/>
      </w:pPr>
      <w:r>
        <w:rPr>
          <w:rFonts w:ascii="Times New Roman" w:cs="Times New Roman" w:eastAsia="Times New Roman" w:hAnsi="Times New Roman"/>
          <w:b/>
          <w:bCs/>
          <w:sz w:val="24"/>
          <w:szCs w:val="24"/>
        </w:rPr>
        <w:t xml:space="preserve">Two further public typhoid datasets exhibit comparable but distinct integrity defects.</w:t>
      </w:r>
      <w:r>
        <w:rPr>
          <w:rFonts w:ascii="Times New Roman" w:cs="Times New Roman" w:eastAsia="Times New Roman" w:hAnsi="Times New Roman"/>
          <w:sz w:val="24"/>
          <w:szCs w:val="24"/>
        </w:rPr>
        <w:t xml:space="preserve"> The Nishat et al. (2025) dataset is separable to perfect balanced accuracy by a decision tree of depth three and its duplicated rows belong exclusively to the negative class. The TyphoDx-BD dataset, although genuinely real and physician-validated, carries a label that is the Widal interpretive reading rule applied to its own feature set, making any model trained on it circular.</w:t>
      </w:r>
    </w:p>
    <w:p>
      <w:pPr>
        <w:pStyle w:val="Heading2"/>
        <w:spacing w:after="120" w:before="240" w:line="360" w:lineRule="auto"/>
        <w:jc w:val="left"/>
      </w:pPr>
      <w:r>
        <w:rPr>
          <w:rFonts w:ascii="Times New Roman" w:cs="Times New Roman" w:eastAsia="Times New Roman" w:hAnsi="Times New Roman"/>
          <w:b/>
          <w:bCs/>
          <w:sz w:val="24"/>
          <w:szCs w:val="24"/>
        </w:rPr>
        <w:t xml:space="preserve">5.4 Conclusion</w:t>
      </w:r>
    </w:p>
    <w:p>
      <w:pPr>
        <w:spacing w:after="160" w:line="360" w:lineRule="auto"/>
        <w:jc w:val="both"/>
      </w:pPr>
      <w:r>
        <w:rPr>
          <w:rFonts w:ascii="Times New Roman" w:cs="Times New Roman" w:eastAsia="Times New Roman" w:hAnsi="Times New Roman"/>
          <w:sz w:val="24"/>
          <w:szCs w:val="24"/>
        </w:rPr>
        <w:t xml:space="preserve">The aim of this study was to develop and evaluate a Support Vector Machine model for the rapid and accurate prediction and diagnosis of typhoid fever in resource-limited settings. The study concludes as follows.</w:t>
      </w:r>
    </w:p>
    <w:p>
      <w:pPr>
        <w:pStyle w:val="Heading3"/>
        <w:spacing w:after="100" w:before="200" w:line="360" w:lineRule="auto"/>
        <w:jc w:val="left"/>
      </w:pPr>
      <w:r>
        <w:rPr>
          <w:rFonts w:ascii="Times New Roman" w:cs="Times New Roman" w:eastAsia="Times New Roman" w:hAnsi="Times New Roman"/>
          <w:b/>
          <w:bCs/>
          <w:sz w:val="24"/>
          <w:szCs w:val="24"/>
        </w:rPr>
        <w:t xml:space="preserve">5.4.1 Conclusions in relation to the specific objectives</w:t>
      </w:r>
    </w:p>
    <w:p>
      <w:pPr>
        <w:spacing w:after="80" w:before="160" w:line="240" w:lineRule="auto"/>
        <w:jc w:val="left"/>
      </w:pPr>
      <w:r>
        <w:rPr>
          <w:rFonts w:ascii="Times New Roman" w:cs="Times New Roman" w:eastAsia="Times New Roman" w:hAnsi="Times New Roman"/>
          <w:sz w:val="24"/>
          <w:szCs w:val="24"/>
        </w:rPr>
        <w:t xml:space="preserve">Table 5.1: Status of the Specific Objectives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2109"/>
        <w:gridCol w:w="3690"/>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Objective</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Outcome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Evidence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Collect and preprocess a typhoid dataset from Kaggle and evaluate its features for model input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4.2.3; 31,087 records preprocessed, 13 modelling attributes retained, nine excluded as leakage or as unobtainable at the point of care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 Design the machine learning model for typhoid using the Support Vector Machine</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4.3; three kernels compared, 24 configurations optimised, cross-validated macro F1 of 0.9842</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 Develop and train the SVM model on the preprocessed dataset to improve early diagnosis and treatment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a modelling exercise; clinical improvement not demonstrated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4.4 for the model; Section 4.6 establishes that the measured performance reflects the dataset's construction</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 Evaluate the scalability of the model across diverse geographic regions using Location subgroups</w:t>
            </w:r>
          </w:p>
        </w:tc>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stated</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4.5; macro F1 varies by 0.0065 across the three subgroups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5.4.2 Principal conclusion</w:t>
      </w:r>
    </w:p>
    <w:p>
      <w:pPr>
        <w:spacing w:after="160" w:line="360" w:lineRule="auto"/>
        <w:jc w:val="both"/>
      </w:pPr>
      <w:r>
        <w:rPr>
          <w:rFonts w:ascii="Times New Roman" w:cs="Times New Roman" w:eastAsia="Times New Roman" w:hAnsi="Times New Roman"/>
          <w:sz w:val="24"/>
          <w:szCs w:val="24"/>
        </w:rPr>
        <w:t xml:space="preserve">A complete and methodologically sound Support Vector Machine pipeline for typhoid diagnosis was designed, implemented, optimised, evaluated and deployed as a working clinical decision-support system. Every stage specified in Chapter Three was carried out, and the deployed application satisfies the real-time, point-of-care requirement of the aim: it returns a calibrated diagnosis with an explanation in under ten milliseconds of computation, within a memory allocation of 512 megabytes, over an ordinary mobile browser.</w:t>
      </w:r>
    </w:p>
    <w:p>
      <w:pPr>
        <w:spacing w:after="160" w:line="360" w:lineRule="auto"/>
        <w:jc w:val="both"/>
      </w:pPr>
      <w:r>
        <w:rPr>
          <w:rFonts w:ascii="Times New Roman" w:cs="Times New Roman" w:eastAsia="Times New Roman" w:hAnsi="Times New Roman"/>
          <w:sz w:val="24"/>
          <w:szCs w:val="24"/>
        </w:rPr>
        <w:t xml:space="preserve">The measured accuracy of 98.75 per cent cannot, however, be presented as evidence that machine learning improves typhoid diagnosis. The signal audit in Section 4.6 established that a one-line rule on a single attribute reproduces that accuracy exactly, that removing the attribute collapses performance below chance, and that the serological tests on which typhoid diagnosis conventionally rests are statistically independent of the label. The dataset is synthetic, and its label is encoded deterministically into two of its own attributes. The performance figure therefore measures how the dataset was generated, not what the model can diagnose.</w:t>
      </w:r>
    </w:p>
    <w:p>
      <w:pPr>
        <w:spacing w:after="160" w:line="360" w:lineRule="auto"/>
        <w:jc w:val="both"/>
      </w:pPr>
      <w:r>
        <w:rPr>
          <w:rFonts w:ascii="Times New Roman" w:cs="Times New Roman" w:eastAsia="Times New Roman" w:hAnsi="Times New Roman"/>
          <w:sz w:val="24"/>
          <w:szCs w:val="24"/>
        </w:rPr>
        <w:t xml:space="preserve">This conclusion is not a failure of the research. It is the result the research was designed to be capable of detecting. Had the audit not been performed, this study would have reported 98.75 per cent accuracy as a contribution to typhoid diagnosis, as comparable published studies have done. The audit is what distinguishes a defensible finding from an artefact, and the finding it produced is a real one: the binding constraint on machine learning research into typhoid diagnosis is not the choice of algorithm but the absence of an openly available dataset in which the diagnosis is established independently of the features used to predict it.</w:t>
      </w:r>
    </w:p>
    <w:p>
      <w:pPr>
        <w:spacing w:after="160" w:line="360" w:lineRule="auto"/>
        <w:jc w:val="both"/>
      </w:pPr>
      <w:r>
        <w:rPr>
          <w:rFonts w:ascii="Times New Roman" w:cs="Times New Roman" w:eastAsia="Times New Roman" w:hAnsi="Times New Roman"/>
          <w:sz w:val="24"/>
          <w:szCs w:val="24"/>
        </w:rPr>
        <w:t xml:space="preserve">The study therefore delivers a validated diagnostic pipeline and deployment pathway rather than a validated diagnostic instrument. The system is dataset-agnostic: retraining it on clinically obtained data requires a configuration change and a re-run, not a redesign. Until such data are available and prospective validation has been undertaken, the system must be regarded as a research prototype, and it must not be used to inform the care of any patient.</w:t>
      </w:r>
    </w:p>
    <w:p>
      <w:pPr>
        <w:pStyle w:val="Heading2"/>
        <w:spacing w:after="120" w:before="240" w:line="360" w:lineRule="auto"/>
        <w:jc w:val="left"/>
      </w:pPr>
      <w:r>
        <w:rPr>
          <w:rFonts w:ascii="Times New Roman" w:cs="Times New Roman" w:eastAsia="Times New Roman" w:hAnsi="Times New Roman"/>
          <w:b/>
          <w:bCs/>
          <w:sz w:val="24"/>
          <w:szCs w:val="24"/>
        </w:rPr>
        <w:t xml:space="preserve">5.5 Contribution to Knowledge</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A reproducible, leakage-controlled SVM pipeline for typhoid diagnosis.</w:t>
      </w:r>
      <w:r>
        <w:rPr>
          <w:rFonts w:ascii="Times New Roman" w:cs="Times New Roman" w:eastAsia="Times New Roman" w:hAnsi="Times New Roman"/>
          <w:sz w:val="24"/>
          <w:szCs w:val="24"/>
        </w:rPr>
        <w:t xml:space="preserve"> The pipeline applies SMOTENC within the modelling pipeline rather than to the dataset before partitioning, withholds the confirmatory gold standard from the feature space, and calibrates the decision function into interpretable probabilities. Each of these is a control that comparable published work on typhoid diagnosis does not report.</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Evidence that three publicly available typhoid datasets are unsuitable for diagnostic model development, and a characterisation of how each fails.</w:t>
      </w:r>
      <w:r>
        <w:rPr>
          <w:rFonts w:ascii="Times New Roman" w:cs="Times New Roman" w:eastAsia="Times New Roman" w:hAnsi="Times New Roman"/>
          <w:sz w:val="24"/>
          <w:szCs w:val="24"/>
        </w:rPr>
        <w:t xml:space="preserve"> The study documents a deterministic label rule in the Kaggle dataset, a padded and over-separable sample in the Nishat et al. (2025) dataset, and a circularly defined label in the TyphoDx-BD dataset. This is offered as a caution to subsequent researchers, who would otherwise repeat the exercise.</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A demonstration that reported accuracy without a baseline is uninformative.</w:t>
      </w:r>
      <w:r>
        <w:rPr>
          <w:rFonts w:ascii="Times New Roman" w:cs="Times New Roman" w:eastAsia="Times New Roman" w:hAnsi="Times New Roman"/>
          <w:sz w:val="24"/>
          <w:szCs w:val="24"/>
        </w:rPr>
        <w:t xml:space="preserve"> None of the studies reviewed in Chapter Two reports a trivial baseline against which its result can be judged. This study shows that a one-line rule reproduces almost the entire performance of an optimised model on the same data, and argues that routine reporting of such baselines would materially raise the evidentiary standard of this literature at negligible cost.</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A deployed, openly accessible reference implementation.</w:t>
      </w:r>
      <w:r>
        <w:rPr>
          <w:rFonts w:ascii="Times New Roman" w:cs="Times New Roman" w:eastAsia="Times New Roman" w:hAnsi="Times New Roman"/>
          <w:sz w:val="24"/>
          <w:szCs w:val="24"/>
        </w:rPr>
        <w:t xml:space="preserve"> The system is live, authenticated, role-based, responsive to mobile devices, covered by 168 automated tests, and architected so that the machine learning package and the web application are independently replaceable. It provides a working deployment pathway for any subsequent researcher who obtains a clinically valid typhoid dataset.</w:t>
      </w:r>
    </w:p>
    <w:p>
      <w:pPr>
        <w:spacing w:after="200" w:before="40" w:line="240" w:lineRule="auto"/>
        <w:jc w:val="left"/>
      </w:pPr>
      <w:r>
        <w:rPr>
          <w:rFonts w:ascii="Times New Roman" w:cs="Times New Roman" w:eastAsia="Times New Roman" w:hAnsi="Times New Roman"/>
          <w:sz w:val="20"/>
          <w:szCs w:val="20"/>
        </w:rPr>
        <w:t xml:space="preserve">Note. The SPGS guidelines mark Contribution to Knowledge as a requirement for doctoral theses. It is included here because the chapter description calls for a statement of what is new in the work. The department may direct that it be omitted at Master's level.</w:t>
      </w:r>
    </w:p>
    <w:p>
      <w:pPr>
        <w:pStyle w:val="Heading2"/>
        <w:spacing w:after="120" w:before="240" w:line="360" w:lineRule="auto"/>
        <w:jc w:val="left"/>
      </w:pPr>
      <w:r>
        <w:rPr>
          <w:rFonts w:ascii="Times New Roman" w:cs="Times New Roman" w:eastAsia="Times New Roman" w:hAnsi="Times New Roman"/>
          <w:b/>
          <w:bCs/>
          <w:sz w:val="24"/>
          <w:szCs w:val="24"/>
        </w:rPr>
        <w:t xml:space="preserve">5.6 Recommendations</w:t>
      </w:r>
    </w:p>
    <w:p>
      <w:pPr>
        <w:spacing w:after="160" w:line="360" w:lineRule="auto"/>
        <w:jc w:val="both"/>
      </w:pPr>
      <w:r>
        <w:rPr>
          <w:rFonts w:ascii="Times New Roman" w:cs="Times New Roman" w:eastAsia="Times New Roman" w:hAnsi="Times New Roman"/>
          <w:sz w:val="24"/>
          <w:szCs w:val="24"/>
        </w:rPr>
        <w:t xml:space="preserve">The following recommendations follow from the findings stated in Section 5.3 and are addressed to the beneficiaries identified in Section 1.5.</w:t>
      </w:r>
    </w:p>
    <w:p>
      <w:pPr>
        <w:pStyle w:val="Heading3"/>
        <w:spacing w:after="100" w:before="200" w:line="360" w:lineRule="auto"/>
        <w:jc w:val="left"/>
      </w:pPr>
      <w:r>
        <w:rPr>
          <w:rFonts w:ascii="Times New Roman" w:cs="Times New Roman" w:eastAsia="Times New Roman" w:hAnsi="Times New Roman"/>
          <w:b/>
          <w:bCs/>
          <w:sz w:val="24"/>
          <w:szCs w:val="24"/>
        </w:rPr>
        <w:t xml:space="preserve">5.6.1 To researchers in medical machine learning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Report a trivial baseline — a majority-class classifier, the single most predictive attribute, and a shallow decision tree — alongside every model result. Where a one-line rule matches the model, the model has demonstrated nothing.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Audit any dataset for deterministic label encoding before modelling it. Measuring the association between each attribute and the target, and conducting a leave-one-attribute-out ablation, takes minutes and prevents a chapter of invalid conclusions.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Treat a reported accuracy or AUC at or near 1.00 as a signal to inspect the data rather than as a result to publish.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Withhold confirmatory diagnostic tests from the feature space when the stated purpose is prediction, and state the exclusion explicitly in the methodology.</w:t>
      </w:r>
    </w:p>
    <w:p>
      <w:pPr>
        <w:pStyle w:val="Heading3"/>
        <w:spacing w:after="100" w:before="200" w:line="360" w:lineRule="auto"/>
        <w:jc w:val="left"/>
      </w:pPr>
      <w:r>
        <w:rPr>
          <w:rFonts w:ascii="Times New Roman" w:cs="Times New Roman" w:eastAsia="Times New Roman" w:hAnsi="Times New Roman"/>
          <w:b/>
          <w:bCs/>
          <w:sz w:val="24"/>
          <w:szCs w:val="24"/>
        </w:rPr>
        <w:t xml:space="preserve">5.6.2 To healthcare institutions and public health authorities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Do not deploy this system, or any comparable system trained on the datasets audited here, in clinical practice. No claim of clinical utility is made and none is supportable on the present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Where haematology is available, treat severity stratification separately from diagnosis. The severity classes in this dataset are distinguished by the white blood cell count alone, so a system restricted to point-of-care observation cannot stratify severity and should not be presented as doing so.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Prioritise the assembly of a typhoid dataset in which the diagnosis is established by blood culture independently of the clinical and serological features recorded. This is the single intervention that would most advance machine learning for typhoid diagnosis, and it is a data collection problem rather than a modelling problem.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Where such a dataset is assembled, record the date of onset and the date of presentation separately, so that fever duration is a measured clinical observation rather than a field that may be completed retrospectively from a known diagnosis.</w:t>
      </w:r>
    </w:p>
    <w:p>
      <w:pPr>
        <w:pStyle w:val="Heading3"/>
        <w:spacing w:after="100" w:before="200" w:line="360" w:lineRule="auto"/>
        <w:jc w:val="left"/>
      </w:pPr>
      <w:r>
        <w:rPr>
          <w:rFonts w:ascii="Times New Roman" w:cs="Times New Roman" w:eastAsia="Times New Roman" w:hAnsi="Times New Roman"/>
          <w:b/>
          <w:bCs/>
          <w:sz w:val="24"/>
          <w:szCs w:val="24"/>
        </w:rPr>
        <w:t xml:space="preserve">5.6.3 To software practitioners implementing diagnostic decision support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Separate the machine learning package from the application layer and enforce the separation automatically. This permits the model to be retrained without touching application code and the application to be restructured without risk to the trained artefact.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Drive input validation from the dataset schema, so that a value the model has never seen cannot be submitted. Where an attribute is commonly unrecorded in practice, prefer dropping it from the feature space to making it optional: a field the clinician may skip, but which moves the result when completed, is a liability at the point of care.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Match the feature space to the setting the system is intended for. A model that depends on a laboratory investigation cannot be used where no laboratory exists, however well it scores. In this study seven such attributes were removed at a cost of 0.06 accuracy points, which is the test worth running before assuming the cost is prohibitive.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Present a per-prediction explanation alongside every probability. An unexplained probability gives a clinician no basis on which to exercise judgement.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Derive the referral threshold from an explicit weighting of the cost of a missed case against the cost of an unnecessary test, and state that weighting, rather than inheriting a library default of 0.5.</w:t>
      </w:r>
    </w:p>
    <w:p>
      <w:pPr>
        <w:pStyle w:val="Heading2"/>
        <w:spacing w:after="120" w:before="240" w:line="360" w:lineRule="auto"/>
        <w:jc w:val="left"/>
      </w:pPr>
      <w:r>
        <w:rPr>
          <w:rFonts w:ascii="Times New Roman" w:cs="Times New Roman" w:eastAsia="Times New Roman" w:hAnsi="Times New Roman"/>
          <w:b/>
          <w:bCs/>
          <w:sz w:val="24"/>
          <w:szCs w:val="24"/>
        </w:rPr>
        <w:t xml:space="preserve">5.7 Suggestions for Further Studies</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Retrain and validate on clinically obtained data.</w:t>
      </w:r>
      <w:r>
        <w:rPr>
          <w:rFonts w:ascii="Times New Roman" w:cs="Times New Roman" w:eastAsia="Times New Roman" w:hAnsi="Times New Roman"/>
          <w:sz w:val="24"/>
          <w:szCs w:val="24"/>
        </w:rPr>
        <w:t xml:space="preserve"> The pipeline is dataset-agnostic. The immediate next study is to apply it to a prospectively collected cohort in which typhoid status is established by blood culture, and to report performance against that reference standard.</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Conduct a prospective clinical evaluation.</w:t>
      </w:r>
      <w:r>
        <w:rPr>
          <w:rFonts w:ascii="Times New Roman" w:cs="Times New Roman" w:eastAsia="Times New Roman" w:hAnsi="Times New Roman"/>
          <w:sz w:val="24"/>
          <w:szCs w:val="24"/>
        </w:rPr>
        <w:t xml:space="preserve"> A retrospective evaluation on any dataset, however sound, does not establish clinical utility. A study measuring whether clinician decisions and patient outcomes improve when the tool is available would be the appropriate next step after retraining.</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Extend the audit methodology to other disease datasets.</w:t>
      </w:r>
      <w:r>
        <w:rPr>
          <w:rFonts w:ascii="Times New Roman" w:cs="Times New Roman" w:eastAsia="Times New Roman" w:hAnsi="Times New Roman"/>
          <w:sz w:val="24"/>
          <w:szCs w:val="24"/>
        </w:rPr>
        <w:t xml:space="preserve"> The auditing procedure developed in Section 4.6 — baseline comparison, association measurement, ablation and duplicate analysis — is disease-agnostic. Applying it systematically to the public datasets used in medical machine learning would be a contribution in its own right.</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Investigate differential diagnosis against co-endemic febrile illnesses.</w:t>
      </w:r>
      <w:r>
        <w:rPr>
          <w:rFonts w:ascii="Times New Roman" w:cs="Times New Roman" w:eastAsia="Times New Roman" w:hAnsi="Times New Roman"/>
          <w:sz w:val="24"/>
          <w:szCs w:val="24"/>
        </w:rPr>
        <w:t xml:space="preserve"> Typhoid is routinely confused with malaria, dengue and other febrile illnesses in the settings this study addresses. A model trained to discriminate among them would be of greater clinical value than one trained to detect typhoid in isolation, and would require a dataset constructed for that purpose.</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Examine outbreak forecasting as a separate problem.</w:t>
      </w:r>
      <w:r>
        <w:rPr>
          <w:rFonts w:ascii="Times New Roman" w:cs="Times New Roman" w:eastAsia="Times New Roman" w:hAnsi="Times New Roman"/>
          <w:sz w:val="24"/>
          <w:szCs w:val="24"/>
        </w:rPr>
        <w:t xml:space="preserve"> Sections 1.4 and 2.1.3 discuss outbreak prediction at some length. It is outside the four objectives of this study, is not implemented here, and cannot be supported by a dataset carrying no temporal or incidence field. It is a legitimate and distinct line of enquiry requiring surveillance data rather than patient records.</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Evaluate offline and edge deployment.</w:t>
      </w:r>
      <w:r>
        <w:rPr>
          <w:rFonts w:ascii="Times New Roman" w:cs="Times New Roman" w:eastAsia="Times New Roman" w:hAnsi="Times New Roman"/>
          <w:sz w:val="24"/>
          <w:szCs w:val="24"/>
        </w:rPr>
        <w:t xml:space="preserve"> The trained artefact occupies 353 kilobytes and infers in under ten milliseconds, which is well within the capability of a low-cost handset. A study of fully offline operation would remove the network dependency that currently constrains use in the most under-served settings.</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2026-09-18T07:32:23.029Z</dcterms:created>
  <dcterms:modified xsi:type="dcterms:W3CDTF">2026-09-18T07:32:23.029Z</dcterms:modified>
</cp:coreProperties>
</file>

<file path=docProps/custom.xml><?xml version="1.0" encoding="utf-8"?>
<Properties xmlns="http://schemas.openxmlformats.org/officeDocument/2006/custom-properties" xmlns:vt="http://schemas.openxmlformats.org/officeDocument/2006/docPropsVTypes"/>
</file>