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0" w:line="360" w:lineRule="auto"/>
        <w:jc w:val="center"/>
      </w:pPr>
      <w:r>
        <w:rPr>
          <w:rFonts w:ascii="Times New Roman" w:cs="Times New Roman" w:eastAsia="Times New Roman" w:hAnsi="Times New Roman"/>
          <w:b/>
          <w:bCs/>
          <w:sz w:val="24"/>
          <w:szCs w:val="24"/>
        </w:rPr>
        <w:t xml:space="preserve">CHAPTER FOUR</w:t>
      </w:r>
    </w:p>
    <w:p>
      <w:pPr>
        <w:spacing w:after="240" w:line="360" w:lineRule="auto"/>
        <w:jc w:val="center"/>
      </w:pPr>
      <w:r>
        <w:rPr>
          <w:rFonts w:ascii="Times New Roman" w:cs="Times New Roman" w:eastAsia="Times New Roman" w:hAnsi="Times New Roman"/>
          <w:b/>
          <w:bCs/>
          <w:sz w:val="24"/>
          <w:szCs w:val="24"/>
        </w:rPr>
        <w:t xml:space="preserve">RESULTS AND DISCUSSION</w:t>
      </w:r>
    </w:p>
    <w:p>
      <w:pPr>
        <w:pStyle w:val="Heading2"/>
        <w:spacing w:after="120" w:before="240" w:line="360" w:lineRule="auto"/>
        <w:jc w:val="left"/>
      </w:pPr>
      <w:r>
        <w:rPr>
          <w:rFonts w:ascii="Times New Roman" w:cs="Times New Roman" w:eastAsia="Times New Roman" w:hAnsi="Times New Roman"/>
          <w:b/>
          <w:bCs/>
          <w:sz w:val="24"/>
          <w:szCs w:val="24"/>
        </w:rPr>
        <w:t xml:space="preserve">4.1 Introduction</w:t>
      </w:r>
    </w:p>
    <w:p>
      <w:pPr>
        <w:spacing w:after="160" w:line="360" w:lineRule="auto"/>
        <w:jc w:val="both"/>
      </w:pPr>
      <w:r>
        <w:rPr>
          <w:rFonts w:ascii="Times New Roman" w:cs="Times New Roman" w:eastAsia="Times New Roman" w:hAnsi="Times New Roman"/>
          <w:sz w:val="24"/>
          <w:szCs w:val="24"/>
        </w:rPr>
        <w:t xml:space="preserve">This chapter presents the results obtained from the design, training, evaluation and deployment of the Support Vector Machine model developed in Chapter Three, and discusses those results in relation to the aim and the four specific objectives set out in Section 1.3. The chapter is organised to follow the objectives in sequence. Section 4.2 reports the outcome of data collection and preprocessing, addressing Objective 1. Section 4.3 reports the comparison of kernel functions and the hyperparameter optimisation that produced the final model design, addressing Objective 2. Section 4.4 reports the predictive performance of the trained model on the held-out test partition, addressing Objective 3. Section 4.5 reports performance across geographic subgroups, addressing Objective 4.</w:t>
      </w:r>
    </w:p>
    <w:p>
      <w:pPr>
        <w:spacing w:after="160" w:line="360" w:lineRule="auto"/>
        <w:jc w:val="both"/>
      </w:pPr>
      <w:r>
        <w:rPr>
          <w:rFonts w:ascii="Times New Roman" w:cs="Times New Roman" w:eastAsia="Times New Roman" w:hAnsi="Times New Roman"/>
          <w:sz w:val="24"/>
          <w:szCs w:val="24"/>
        </w:rPr>
        <w:t xml:space="preserve">Section 4.6 presents a signal audit of the dataset, undertaken to establish what the model had in fact learned before its performance was interpreted. Section 4.7 documents the deployment of the optimised model as a live clinical decision-support application. Section 4.8 discusses the findings in relation to the published literature, and Section 4.9 summarises the chapter.</w:t>
      </w:r>
    </w:p>
    <w:p>
      <w:pPr>
        <w:spacing w:after="160" w:line="360" w:lineRule="auto"/>
        <w:jc w:val="both"/>
      </w:pPr>
      <w:r>
        <w:rPr>
          <w:rFonts w:ascii="Times New Roman" w:cs="Times New Roman" w:eastAsia="Times New Roman" w:hAnsi="Times New Roman"/>
          <w:sz w:val="24"/>
          <w:szCs w:val="24"/>
        </w:rPr>
        <w:t xml:space="preserve">All results reported in this chapter were generated from the artefacts produced by the implementation. Model training used a fixed random seed of 42 and a stratified 80:20 partition, so every figure is reproducible from the accompanying source code listed in Appendix A.</w:t>
      </w:r>
    </w:p>
    <w:p>
      <w:pPr>
        <w:pStyle w:val="Heading2"/>
        <w:spacing w:after="120" w:before="240" w:line="360" w:lineRule="auto"/>
        <w:jc w:val="left"/>
      </w:pPr>
      <w:r>
        <w:rPr>
          <w:rFonts w:ascii="Times New Roman" w:cs="Times New Roman" w:eastAsia="Times New Roman" w:hAnsi="Times New Roman"/>
          <w:b/>
          <w:bCs/>
          <w:sz w:val="24"/>
          <w:szCs w:val="24"/>
        </w:rPr>
        <w:t xml:space="preserve">4.2 Data Collection and Preprocessing Results</w:t>
      </w:r>
    </w:p>
    <w:p>
      <w:pPr>
        <w:spacing w:after="160" w:line="360" w:lineRule="auto"/>
        <w:jc w:val="both"/>
      </w:pPr>
      <w:r>
        <w:rPr>
          <w:rFonts w:ascii="Times New Roman" w:cs="Times New Roman" w:eastAsia="Times New Roman" w:hAnsi="Times New Roman"/>
          <w:sz w:val="24"/>
          <w:szCs w:val="24"/>
        </w:rPr>
        <w:t xml:space="preserve">This section addresses Objective 1, which required the collection and preprocessing of a typhoid dataset from Kaggle and the evaluation of its features for model input.</w:t>
      </w:r>
    </w:p>
    <w:p>
      <w:pPr>
        <w:pStyle w:val="Heading3"/>
        <w:spacing w:after="100" w:before="200" w:line="360" w:lineRule="auto"/>
        <w:jc w:val="left"/>
      </w:pPr>
      <w:r>
        <w:rPr>
          <w:rFonts w:ascii="Times New Roman" w:cs="Times New Roman" w:eastAsia="Times New Roman" w:hAnsi="Times New Roman"/>
          <w:b/>
          <w:bCs/>
          <w:sz w:val="24"/>
          <w:szCs w:val="24"/>
        </w:rPr>
        <w:t xml:space="preserve">4.2.1 Dataset characteristics</w:t>
      </w:r>
    </w:p>
    <w:p>
      <w:pPr>
        <w:spacing w:after="160" w:line="360" w:lineRule="auto"/>
        <w:jc w:val="both"/>
      </w:pPr>
      <w:r>
        <w:rPr>
          <w:rFonts w:ascii="Times New Roman" w:cs="Times New Roman" w:eastAsia="Times New Roman" w:hAnsi="Times New Roman"/>
          <w:sz w:val="24"/>
          <w:szCs w:val="24"/>
        </w:rPr>
        <w:t xml:space="preserve">The dataset obtained comprised </w:t>
      </w:r>
      <w:r>
        <w:rPr>
          <w:rFonts w:ascii="Times New Roman" w:cs="Times New Roman" w:eastAsia="Times New Roman" w:hAnsi="Times New Roman"/>
          <w:b/>
          <w:bCs/>
          <w:sz w:val="24"/>
          <w:szCs w:val="24"/>
        </w:rPr>
        <w:t xml:space="preserve">31,087</w:t>
      </w:r>
      <w:r>
        <w:rPr>
          <w:rFonts w:ascii="Times New Roman" w:cs="Times New Roman" w:eastAsia="Times New Roman" w:hAnsi="Times New Roman"/>
          <w:sz w:val="24"/>
          <w:szCs w:val="24"/>
        </w:rPr>
        <w:t xml:space="preserve"> patient records described by </w:t>
      </w:r>
      <w:r>
        <w:rPr>
          <w:rFonts w:ascii="Times New Roman" w:cs="Times New Roman" w:eastAsia="Times New Roman" w:hAnsi="Times New Roman"/>
          <w:b/>
          <w:bCs/>
          <w:sz w:val="24"/>
          <w:szCs w:val="24"/>
        </w:rPr>
        <w:t xml:space="preserve">23</w:t>
      </w:r>
      <w:r>
        <w:rPr>
          <w:rFonts w:ascii="Times New Roman" w:cs="Times New Roman" w:eastAsia="Times New Roman" w:hAnsi="Times New Roman"/>
          <w:sz w:val="24"/>
          <w:szCs w:val="24"/>
        </w:rPr>
        <w:t xml:space="preserve"> attributes. No duplicate records were present. Four attributes contained missing values. Table 4.1 summarises the composition and quality of the dataset as received.</w:t>
      </w:r>
    </w:p>
    <w:p>
      <w:pPr>
        <w:spacing w:after="80" w:before="160" w:line="240" w:lineRule="auto"/>
        <w:jc w:val="left"/>
      </w:pPr>
      <w:r>
        <w:rPr>
          <w:rFonts w:ascii="Times New Roman" w:cs="Times New Roman" w:eastAsia="Times New Roman" w:hAnsi="Times New Roman"/>
          <w:sz w:val="24"/>
          <w:szCs w:val="24"/>
        </w:rPr>
        <w:t xml:space="preserve">Table 4.1: Composition and Quality Assessment of the Dataset</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5096"/>
        <w:gridCol w:w="3690"/>
      </w:tblGrid>
      <w:tr>
        <w:trPr>
          <w:tblHeader/>
        </w:trPr>
        <w:tc>
          <w:tcPr>
            <w:tcW w:type="dxa" w:w="509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Property</w:t>
            </w:r>
          </w:p>
        </w:tc>
        <w:tc>
          <w:tcPr>
            <w:tcW w:type="dxa" w:w="369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Value</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Total patient records</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31,087</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Attributes</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23</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Duplicate records</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Attributes with missing values</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4</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Gastrointestinal Symptoms missing</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24.96%</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Neurological Symptoms missing</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24.91%</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Ongoing Infection in Society missing</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24.70%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Complications missing</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96.98%</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Age range (years)</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1 to 80 (median 40)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Fever Duration range (days)</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 to 21 (median 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White Blood Cell Count range (cells/µL)</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3,000 to 19,994 (median 7,160)</w:t>
            </w:r>
          </w:p>
        </w:tc>
      </w:tr>
      <w:tr>
        <w:tc>
          <w:tcPr>
            <w:tcW w:type="dxa" w:w="509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Platelet Count range (cells/µL)</w:t>
            </w:r>
          </w:p>
        </w:tc>
        <w:tc>
          <w:tcPr>
            <w:tcW w:type="dxa" w:w="369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50,001 to 449,994 (median 273,045)</w:t>
            </w:r>
          </w:p>
        </w:tc>
      </w:tr>
    </w:tbl>
    <w:p>
      <w:pPr>
        <w:spacing w:after="200" w:before="40" w:line="240" w:lineRule="auto"/>
        <w:jc w:val="left"/>
      </w:pPr>
      <w:r>
        <w:rPr>
          <w:rFonts w:ascii="Times New Roman" w:cs="Times New Roman" w:eastAsia="Times New Roman" w:hAnsi="Times New Roman"/>
          <w:sz w:val="20"/>
          <w:szCs w:val="20"/>
        </w:rPr>
        <w:t xml:space="preserve">Note. Section 3.1.1 of the methodology states 31,088 records. The file obtained from the repository contains 31,087. The figure in Chapter Three should be corrected accordingly.</w:t>
      </w:r>
    </w:p>
    <w:p>
      <w:pPr>
        <w:spacing w:after="160" w:line="360" w:lineRule="auto"/>
        <w:jc w:val="both"/>
      </w:pPr>
      <w:r>
        <w:rPr>
          <w:rFonts w:ascii="Times New Roman" w:cs="Times New Roman" w:eastAsia="Times New Roman" w:hAnsi="Times New Roman"/>
          <w:sz w:val="24"/>
          <w:szCs w:val="24"/>
        </w:rPr>
        <w:t xml:space="preserve">The target variable, Typhoid Status, was recorded in four clinical categories rather than the two described in Section 3.1.1. Table 4.2 reports the distribution of both the four-category variable as supplied and the binary diagnostic target derived from it. The binary target, formed by collapsing the three disease categories against the disease-free category, is the primary target of this study because it corresponds directly to the diagnostic decision stated in the aim.</w:t>
      </w:r>
    </w:p>
    <w:p>
      <w:pPr>
        <w:spacing w:after="80" w:before="160" w:line="240" w:lineRule="auto"/>
        <w:jc w:val="left"/>
      </w:pPr>
      <w:r>
        <w:rPr>
          <w:rFonts w:ascii="Times New Roman" w:cs="Times New Roman" w:eastAsia="Times New Roman" w:hAnsi="Times New Roman"/>
          <w:sz w:val="24"/>
          <w:szCs w:val="24"/>
        </w:rPr>
        <w:t xml:space="preserve">Table 4.2: Distribution of the Target Variable</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4218"/>
        <w:gridCol w:w="2284"/>
        <w:gridCol w:w="2284"/>
      </w:tblGrid>
      <w:tr>
        <w:trPr>
          <w:tblHeader/>
        </w:trPr>
        <w:tc>
          <w:tcPr>
            <w:tcW w:type="dxa" w:w="4218"/>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Category</w:t>
            </w:r>
          </w:p>
        </w:tc>
        <w:tc>
          <w:tcPr>
            <w:tcW w:type="dxa" w:w="2284"/>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Records</w:t>
            </w:r>
          </w:p>
        </w:tc>
        <w:tc>
          <w:tcPr>
            <w:tcW w:type="dxa" w:w="2284"/>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Percentage</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Normal or No Typhoid</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21,701</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69.81%</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Acute Typhoid Fever</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5,649</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18.17%</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Relapsing Typhoid</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2,486</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8.00%</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Complicated Typhoid</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1,251</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4.02%</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Binary target: No Typhoid</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21,701</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69.81%</w:t>
            </w:r>
          </w:p>
        </w:tc>
      </w:tr>
      <w:tr>
        <w:tc>
          <w:tcPr>
            <w:tcW w:type="dxa" w:w="4218"/>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Binary target: Typhoid</w:t>
            </w:r>
          </w:p>
        </w:tc>
        <w:tc>
          <w:tcPr>
            <w:tcW w:type="dxa" w:w="2284"/>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9,386</w:t>
            </w:r>
          </w:p>
        </w:tc>
        <w:tc>
          <w:tcPr>
            <w:tcW w:type="dxa" w:w="2284"/>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30.19%</w:t>
            </w:r>
          </w:p>
        </w:tc>
      </w:tr>
    </w:tbl>
    <w:p>
      <w:pPr>
        <w:spacing w:after="160" w:line="360" w:lineRule="auto"/>
        <w:jc w:val="both"/>
      </w:pPr>
      <w:r>
        <w:rPr>
          <w:rFonts w:ascii="Times New Roman" w:cs="Times New Roman" w:eastAsia="Times New Roman" w:hAnsi="Times New Roman"/>
          <w:sz w:val="24"/>
          <w:szCs w:val="24"/>
        </w:rPr>
        <w:t xml:space="preserve">The binary target carries a class imbalance ratio of 2.31 to 1, while the four-category variable carries a ratio of 17.35 to 1. This imbalance motivated the resampling strategy described in Section 3.2.1 and reported in Section 4.2.4.</w:t>
      </w:r>
    </w:p>
    <w:p>
      <w:pPr>
        <w:pStyle w:val="Heading3"/>
        <w:spacing w:after="100" w:before="200" w:line="360" w:lineRule="auto"/>
        <w:jc w:val="left"/>
      </w:pPr>
      <w:r>
        <w:rPr>
          <w:rFonts w:ascii="Times New Roman" w:cs="Times New Roman" w:eastAsia="Times New Roman" w:hAnsi="Times New Roman"/>
          <w:b/>
          <w:bCs/>
          <w:sz w:val="24"/>
          <w:szCs w:val="24"/>
        </w:rPr>
        <w:t xml:space="preserve">4.2.2 Treatment of missing values</w:t>
      </w:r>
    </w:p>
    <w:p>
      <w:pPr>
        <w:spacing w:after="160" w:line="360" w:lineRule="auto"/>
        <w:jc w:val="both"/>
      </w:pPr>
      <w:r>
        <w:rPr>
          <w:rFonts w:ascii="Times New Roman" w:cs="Times New Roman" w:eastAsia="Times New Roman" w:hAnsi="Times New Roman"/>
          <w:sz w:val="24"/>
          <w:szCs w:val="24"/>
        </w:rPr>
        <w:t xml:space="preserve">Three attributes — Gastrointestinal Symptoms, Neurological Symptoms and Ongoing Infection in Society — were missing for approximately one quarter of records. Two of the three were dropped from the feature space during preprocessing for the reasons given in Section 4.2.3, and the third was recoded as described there. The pipeline nevertheless retains median and modal imputation, which is exercised by the comparator policy reported in Section 4.6.3 and guards the deployed model against an unexpected blank.</w:t>
      </w:r>
    </w:p>
    <w:p>
      <w:pPr>
        <w:spacing w:after="160" w:line="360" w:lineRule="auto"/>
        <w:jc w:val="both"/>
      </w:pPr>
      <w:r>
        <w:rPr>
          <w:rFonts w:ascii="Times New Roman" w:cs="Times New Roman" w:eastAsia="Times New Roman" w:hAnsi="Times New Roman"/>
          <w:sz w:val="24"/>
          <w:szCs w:val="24"/>
        </w:rPr>
        <w:t xml:space="preserve">The consequence for the deployed application is worth stating: every attribute it collects is complete for all 31,087 records, so the assessment form carries no optional field. This removes a real hazard at the point of care, where a field the clinician may skip, but which changes the result when completed, invites an inconsistent entry.</w:t>
      </w:r>
    </w:p>
    <w:p>
      <w:pPr>
        <w:spacing w:after="160" w:line="360" w:lineRule="auto"/>
        <w:jc w:val="both"/>
      </w:pPr>
      <w:r>
        <w:rPr>
          <w:rFonts w:ascii="Times New Roman" w:cs="Times New Roman" w:eastAsia="Times New Roman" w:hAnsi="Times New Roman"/>
          <w:sz w:val="24"/>
          <w:szCs w:val="24"/>
        </w:rPr>
        <w:t xml:space="preserve">The Complications attribute was missing for 96.98% of records and was excluded from the feature space on the separate grounds discussed in Section 4.2.3.</w:t>
      </w:r>
    </w:p>
    <w:p>
      <w:pPr>
        <w:pStyle w:val="Heading3"/>
        <w:spacing w:after="100" w:before="200" w:line="360" w:lineRule="auto"/>
        <w:jc w:val="left"/>
      </w:pPr>
      <w:r>
        <w:rPr>
          <w:rFonts w:ascii="Times New Roman" w:cs="Times New Roman" w:eastAsia="Times New Roman" w:hAnsi="Times New Roman"/>
          <w:b/>
          <w:bCs/>
          <w:sz w:val="24"/>
          <w:szCs w:val="24"/>
        </w:rPr>
        <w:t xml:space="preserve">4.2.3 Attributes retained and dropped during preprocessing</w:t>
      </w:r>
    </w:p>
    <w:p>
      <w:pPr>
        <w:spacing w:after="160" w:line="360" w:lineRule="auto"/>
        <w:jc w:val="both"/>
      </w:pPr>
      <w:r>
        <w:rPr>
          <w:rFonts w:ascii="Times New Roman" w:cs="Times New Roman" w:eastAsia="Times New Roman" w:hAnsi="Times New Roman"/>
          <w:sz w:val="24"/>
          <w:szCs w:val="24"/>
        </w:rPr>
        <w:t xml:space="preserve">Two attributes were withheld from every model as diagnostic leakage. This is a substantive methodological control rather than routine housekeeping: retaining either would have produced a model that restates a completed diagnostic workup rather than predicting a diagnosis, and would have inflated every performance figure reported in this chapter.</w:t>
      </w:r>
    </w:p>
    <w:p>
      <w:pPr>
        <w:spacing w:after="160" w:line="360" w:lineRule="auto"/>
        <w:jc w:val="both"/>
      </w:pPr>
      <w:r>
        <w:rPr>
          <w:rFonts w:ascii="Times New Roman" w:cs="Times New Roman" w:eastAsia="Times New Roman" w:hAnsi="Times New Roman"/>
          <w:sz w:val="24"/>
          <w:szCs w:val="24"/>
        </w:rPr>
        <w:t xml:space="preserve">A further seven attributes were dropped at supervisory review. The aim of the study is prediction and diagnosis at the point of care in resource-limited settings, where the clinician has the patient's presenting symptoms, exposure history and prior illness history, but may have no laboratory available. An attribute requiring a laboratory investigation cannot be supplied at the moment the prediction is needed, and a model depending on one would not be usable in the setting for which it is intended. Two further considerations apply: an attribute recorded for only some patients would oblige the interface to accept an incomplete entry, and an attribute describing the wider community is not a clinical sign of the individual patient's illness. Table 4.3 states each exclusion with its ground.</w:t>
      </w:r>
    </w:p>
    <w:p>
      <w:pPr>
        <w:spacing w:after="80" w:before="160" w:line="240" w:lineRule="auto"/>
        <w:jc w:val="left"/>
      </w:pPr>
      <w:r>
        <w:rPr>
          <w:rFonts w:ascii="Times New Roman" w:cs="Times New Roman" w:eastAsia="Times New Roman" w:hAnsi="Times New Roman"/>
          <w:sz w:val="24"/>
          <w:szCs w:val="24"/>
        </w:rPr>
        <w:t xml:space="preserve">Table 4.3: Attributes Excluded from the Feature Space</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9"/>
        <w:gridCol w:w="1933"/>
        <w:gridCol w:w="4745"/>
      </w:tblGrid>
      <w:tr>
        <w:trPr>
          <w:tblHeader/>
        </w:trPr>
        <w:tc>
          <w:tcPr>
            <w:tcW w:type="dxa" w:w="210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Attribute</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Ground for exclusion</w:t>
            </w:r>
          </w:p>
        </w:tc>
        <w:tc>
          <w:tcPr>
            <w:tcW w:type="dxa" w:w="4745"/>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Justification</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Blood Culture Result</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Diagnostic leakage</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The confirmatory gold standard (Cramér's V = 0.9999). A model consuming it would restate a completed diagnosis rather than predict one.</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Complications</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Diagnostic leakage</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Encodes post-diagnostic severity, is unavailable at the point of decision, and is missing for 96.98% of records.</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White Blood Cell Count</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Laboratory investigation</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Requires a haematology laboratory and is not obtainable at the point of care.</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Platelet Count</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Laboratory investigation</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Requires a haematology laboratory and is not obtainable at the point of care.</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Widal Test</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Laboratory investigation</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Serological assay requiring laboratory support; also independent of the diagnosis (Cramér's V = 0.0014).</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Typhidot Test</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Laboratory investigation</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Serological assay requiring laboratory support; also independent of the diagnosis (Cramér's V = 0.0065).</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 Vaccination Status</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Not a presenting sign</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Records a history of prophylaxis rather than of disease or presentation.</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Gastrointestinal Symptoms</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Incomplete recording</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Absent for 24.96% of records, which would require an optional field at entry.</w:t>
            </w:r>
          </w:p>
        </w:tc>
      </w:tr>
      <w:tr>
        <w:tc>
          <w:tcPr>
            <w:tcW w:type="dxa" w:w="210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Ongoing Infection in Society</w:t>
            </w:r>
          </w:p>
        </w:tc>
        <w:tc>
          <w:tcPr>
            <w:tcW w:type="dxa" w:w="1933"/>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Not a patient attribute</w:t>
            </w:r>
          </w:p>
        </w:tc>
        <w:tc>
          <w:tcPr>
            <w:tcW w:type="dxa" w:w="4745"/>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Describes community transmission rather than the individual patient; absent for 24.70% of records.</w:t>
            </w:r>
          </w:p>
        </w:tc>
      </w:tr>
    </w:tbl>
    <w:p>
      <w:pPr>
        <w:spacing w:after="160" w:line="360" w:lineRule="auto"/>
        <w:jc w:val="both"/>
      </w:pPr>
      <w:r>
        <w:rPr>
          <w:rFonts w:ascii="Times New Roman" w:cs="Times New Roman" w:eastAsia="Times New Roman" w:hAnsi="Times New Roman"/>
          <w:sz w:val="24"/>
          <w:szCs w:val="24"/>
        </w:rPr>
        <w:t xml:space="preserve">In addition, Neurological Symptoms was recoded as a binary Headache indicator, so that the attribute carries the symptom named in Objective 1 rather than a mixture of neurological presentations. A recorded value of </w:t>
      </w:r>
      <w:r>
        <w:rPr>
          <w:rFonts w:ascii="Times New Roman" w:cs="Times New Roman" w:eastAsia="Times New Roman" w:hAnsi="Times New Roman"/>
          <w:i/>
          <w:iCs/>
          <w:sz w:val="24"/>
          <w:szCs w:val="24"/>
        </w:rPr>
        <w:t xml:space="preserve">Headache</w:t>
      </w:r>
      <w:r>
        <w:rPr>
          <w:rFonts w:ascii="Times New Roman" w:cs="Times New Roman" w:eastAsia="Times New Roman" w:hAnsi="Times New Roman"/>
          <w:sz w:val="24"/>
          <w:szCs w:val="24"/>
        </w:rPr>
        <w:t xml:space="preserve"> maps to </w:t>
      </w:r>
      <w:r>
        <w:rPr>
          <w:rFonts w:ascii="Times New Roman" w:cs="Times New Roman" w:eastAsia="Times New Roman" w:hAnsi="Times New Roman"/>
          <w:i/>
          <w:iCs/>
          <w:sz w:val="24"/>
          <w:szCs w:val="24"/>
        </w:rPr>
        <w:t xml:space="preserve">Yes</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Confusion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Delirium</w:t>
      </w:r>
      <w:r>
        <w:rPr>
          <w:rFonts w:ascii="Times New Roman" w:cs="Times New Roman" w:eastAsia="Times New Roman" w:hAnsi="Times New Roman"/>
          <w:sz w:val="24"/>
          <w:szCs w:val="24"/>
        </w:rPr>
        <w:t xml:space="preserve"> or an absent value map to </w:t>
      </w:r>
      <w:r>
        <w:rPr>
          <w:rFonts w:ascii="Times New Roman" w:cs="Times New Roman" w:eastAsia="Times New Roman" w:hAnsi="Times New Roman"/>
          <w:i/>
          <w:iCs/>
          <w:sz w:val="24"/>
          <w:szCs w:val="24"/>
        </w:rPr>
        <w:t xml:space="preserve">No</w:t>
      </w:r>
      <w:r>
        <w:rPr>
          <w:rFonts w:ascii="Times New Roman" w:cs="Times New Roman" w:eastAsia="Times New Roman" w:hAnsi="Times New Roman"/>
          <w:sz w:val="24"/>
          <w:szCs w:val="24"/>
        </w:rPr>
        <w:t xml:space="preserve">. No discriminative information is lost in the recoding, because there was none to lose: the probability of typhoid is 0.2972 given </w:t>
      </w:r>
      <w:r>
        <w:rPr>
          <w:rFonts w:ascii="Times New Roman" w:cs="Times New Roman" w:eastAsia="Times New Roman" w:hAnsi="Times New Roman"/>
          <w:i/>
          <w:iCs/>
          <w:sz w:val="24"/>
          <w:szCs w:val="24"/>
        </w:rPr>
        <w:t xml:space="preserve">Confusion</w:t>
      </w:r>
      <w:r>
        <w:rPr>
          <w:rFonts w:ascii="Times New Roman" w:cs="Times New Roman" w:eastAsia="Times New Roman" w:hAnsi="Times New Roman"/>
          <w:sz w:val="24"/>
          <w:szCs w:val="24"/>
        </w:rPr>
        <w:t xml:space="preserve">, 0.3023 given </w:t>
      </w:r>
      <w:r>
        <w:rPr>
          <w:rFonts w:ascii="Times New Roman" w:cs="Times New Roman" w:eastAsia="Times New Roman" w:hAnsi="Times New Roman"/>
          <w:i/>
          <w:iCs/>
          <w:sz w:val="24"/>
          <w:szCs w:val="24"/>
        </w:rPr>
        <w:t xml:space="preserve">Delirium</w:t>
      </w:r>
      <w:r>
        <w:rPr>
          <w:rFonts w:ascii="Times New Roman" w:cs="Times New Roman" w:eastAsia="Times New Roman" w:hAnsi="Times New Roman"/>
          <w:sz w:val="24"/>
          <w:szCs w:val="24"/>
        </w:rPr>
        <w:t xml:space="preserve">, 0.3085 given </w:t>
      </w:r>
      <w:r>
        <w:rPr>
          <w:rFonts w:ascii="Times New Roman" w:cs="Times New Roman" w:eastAsia="Times New Roman" w:hAnsi="Times New Roman"/>
          <w:i/>
          <w:iCs/>
          <w:sz w:val="24"/>
          <w:szCs w:val="24"/>
        </w:rPr>
        <w:t xml:space="preserve">Headache</w:t>
      </w:r>
      <w:r>
        <w:rPr>
          <w:rFonts w:ascii="Times New Roman" w:cs="Times New Roman" w:eastAsia="Times New Roman" w:hAnsi="Times New Roman"/>
          <w:sz w:val="24"/>
          <w:szCs w:val="24"/>
        </w:rPr>
        <w:t xml:space="preserve"> and 0.2998 where the field is blank, against an overall rate of 0.3019. The derivation is performed in the data layer, so the training pipeline, the dataset audit and the deployed form all see one identical column (Appendix A.2).</w:t>
      </w:r>
    </w:p>
    <w:p>
      <w:pPr>
        <w:spacing w:after="160" w:line="360" w:lineRule="auto"/>
        <w:jc w:val="both"/>
      </w:pPr>
      <w:r>
        <w:rPr>
          <w:rFonts w:ascii="Times New Roman" w:cs="Times New Roman" w:eastAsia="Times New Roman" w:hAnsi="Times New Roman"/>
          <w:sz w:val="24"/>
          <w:szCs w:val="24"/>
        </w:rPr>
        <w:t xml:space="preserve">The remaining </w:t>
      </w:r>
      <w:r>
        <w:rPr>
          <w:rFonts w:ascii="Times New Roman" w:cs="Times New Roman" w:eastAsia="Times New Roman" w:hAnsi="Times New Roman"/>
          <w:b/>
          <w:bCs/>
          <w:sz w:val="24"/>
          <w:szCs w:val="24"/>
        </w:rPr>
        <w:t xml:space="preserve">13</w:t>
      </w:r>
      <w:r>
        <w:rPr>
          <w:rFonts w:ascii="Times New Roman" w:cs="Times New Roman" w:eastAsia="Times New Roman" w:hAnsi="Times New Roman"/>
          <w:sz w:val="24"/>
          <w:szCs w:val="24"/>
        </w:rPr>
        <w:t xml:space="preserve"> attributes form the modelling feature space: two numeric (Age and Fever Duration) and eleven categorical (Gender, Location, Socioeconomic Status, Water Source Type, Sanitation Facilities, Hand Hygiene, Consumption of Street Food, Weather Condition, Skin Manifestations, Headache and Previous History of Typhoid). Every one is obtainable by history and examination without laboratory support, and every one is complete for all 31,087 records. The complete feature list is given in Appendix B.</w:t>
      </w:r>
    </w:p>
    <w:p>
      <w:pPr>
        <w:spacing w:after="160" w:line="360" w:lineRule="auto"/>
        <w:jc w:val="both"/>
      </w:pPr>
      <w:r>
        <w:rPr>
          <w:rFonts w:ascii="Times New Roman" w:cs="Times New Roman" w:eastAsia="Times New Roman" w:hAnsi="Times New Roman"/>
          <w:sz w:val="24"/>
          <w:szCs w:val="24"/>
        </w:rPr>
        <w:t xml:space="preserve">The pre-review feature space of twenty attributes was retained as a comparator and is reported alongside the deployed policy in Section 4.6.3, so that the cost of the reduction can be read from the results rather than assumed. That cost is 0.06 accuracy points.</w:t>
      </w:r>
    </w:p>
    <w:p>
      <w:pPr>
        <w:pStyle w:val="Heading3"/>
        <w:spacing w:after="100" w:before="200" w:line="360" w:lineRule="auto"/>
        <w:jc w:val="left"/>
      </w:pPr>
      <w:r>
        <w:rPr>
          <w:rFonts w:ascii="Times New Roman" w:cs="Times New Roman" w:eastAsia="Times New Roman" w:hAnsi="Times New Roman"/>
          <w:b/>
          <w:bCs/>
          <w:sz w:val="24"/>
          <w:szCs w:val="24"/>
        </w:rPr>
        <w:t xml:space="preserve">4.2.4 Encoding, scaling and class balancing</w:t>
      </w:r>
    </w:p>
    <w:p>
      <w:pPr>
        <w:spacing w:after="160" w:line="360" w:lineRule="auto"/>
        <w:jc w:val="both"/>
      </w:pPr>
      <w:r>
        <w:rPr>
          <w:rFonts w:ascii="Times New Roman" w:cs="Times New Roman" w:eastAsia="Times New Roman" w:hAnsi="Times New Roman"/>
          <w:sz w:val="24"/>
          <w:szCs w:val="24"/>
        </w:rPr>
        <w:t xml:space="preserve">Numeric attributes were imputed at the median and standardised to zero mean and unit variance, since the Support Vector Machine is sensitive to the magnitude of input values. Categorical attributes were imputed at the mode and one-hot encoded.</w:t>
      </w:r>
    </w:p>
    <w:p>
      <w:pPr>
        <w:spacing w:after="160" w:line="360" w:lineRule="auto"/>
        <w:jc w:val="both"/>
      </w:pPr>
      <w:r>
        <w:rPr>
          <w:rFonts w:ascii="Times New Roman" w:cs="Times New Roman" w:eastAsia="Times New Roman" w:hAnsi="Times New Roman"/>
          <w:sz w:val="24"/>
          <w:szCs w:val="24"/>
        </w:rPr>
        <w:t xml:space="preserve">Class imbalance was addressed using SMOTENC (Synthetic Minority Over-sampling Technique for Nominal and Continuous features) rather than the standard SMOTE named in Section 3.2.1. SMOTE interpolates between neighbouring records in a purely numeric space, which for a one-hot encoded categorical attribute generates fractional values that correspond to no real category. SMOTENC is the variant designed for mixed categorical and numeric data and is therefore the correct choice for this dataset. The methodology should be amended to name the variant actually used.</w:t>
      </w:r>
    </w:p>
    <w:p>
      <w:pPr>
        <w:spacing w:after="160" w:line="360" w:lineRule="auto"/>
        <w:jc w:val="both"/>
      </w:pPr>
      <w:r>
        <w:rPr>
          <w:rFonts w:ascii="Times New Roman" w:cs="Times New Roman" w:eastAsia="Times New Roman" w:hAnsi="Times New Roman"/>
          <w:sz w:val="24"/>
          <w:szCs w:val="24"/>
        </w:rPr>
        <w:t xml:space="preserve">Critically, resampling was applied </w:t>
      </w:r>
      <w:r>
        <w:rPr>
          <w:rFonts w:ascii="Times New Roman" w:cs="Times New Roman" w:eastAsia="Times New Roman" w:hAnsi="Times New Roman"/>
          <w:b/>
          <w:bCs/>
          <w:sz w:val="24"/>
          <w:szCs w:val="24"/>
        </w:rPr>
        <w:t xml:space="preserve">inside</w:t>
      </w:r>
      <w:r>
        <w:rPr>
          <w:rFonts w:ascii="Times New Roman" w:cs="Times New Roman" w:eastAsia="Times New Roman" w:hAnsi="Times New Roman"/>
          <w:sz w:val="24"/>
          <w:szCs w:val="24"/>
        </w:rPr>
        <w:t xml:space="preserve"> the modelling pipeline rather than to the dataset before partitioning. This ensures that synthetic records are generated only from training folds and never enter a validation or test fold. Applying SMOTE before splitting is a widespread error that leaks information across the partition boundary and inflates reported performance; the pipeline construction used here prevents it by design, and an automated test enforces the ordering.</w:t>
      </w:r>
    </w:p>
    <w:p>
      <w:pPr>
        <w:pStyle w:val="Heading3"/>
        <w:spacing w:after="100" w:before="200" w:line="360" w:lineRule="auto"/>
        <w:jc w:val="left"/>
      </w:pPr>
      <w:r>
        <w:rPr>
          <w:rFonts w:ascii="Times New Roman" w:cs="Times New Roman" w:eastAsia="Times New Roman" w:hAnsi="Times New Roman"/>
          <w:b/>
          <w:bCs/>
          <w:sz w:val="24"/>
          <w:szCs w:val="24"/>
        </w:rPr>
        <w:t xml:space="preserve">4.2.5 Dataset partitioning</w:t>
      </w:r>
    </w:p>
    <w:p>
      <w:pPr>
        <w:spacing w:after="160" w:line="360" w:lineRule="auto"/>
        <w:jc w:val="both"/>
      </w:pPr>
      <w:r>
        <w:rPr>
          <w:rFonts w:ascii="Times New Roman" w:cs="Times New Roman" w:eastAsia="Times New Roman" w:hAnsi="Times New Roman"/>
          <w:sz w:val="24"/>
          <w:szCs w:val="24"/>
        </w:rPr>
        <w:t xml:space="preserve">The preprocessed dataset was partitioned using the conventional 80:20 stratified split specified in Section 3.2.2, yielding </w:t>
      </w:r>
      <w:r>
        <w:rPr>
          <w:rFonts w:ascii="Times New Roman" w:cs="Times New Roman" w:eastAsia="Times New Roman" w:hAnsi="Times New Roman"/>
          <w:b/>
          <w:bCs/>
          <w:sz w:val="24"/>
          <w:szCs w:val="24"/>
        </w:rPr>
        <w:t xml:space="preserve">24,869</w:t>
      </w:r>
      <w:r>
        <w:rPr>
          <w:rFonts w:ascii="Times New Roman" w:cs="Times New Roman" w:eastAsia="Times New Roman" w:hAnsi="Times New Roman"/>
          <w:sz w:val="24"/>
          <w:szCs w:val="24"/>
        </w:rPr>
        <w:t xml:space="preserve"> training records and </w:t>
      </w:r>
      <w:r>
        <w:rPr>
          <w:rFonts w:ascii="Times New Roman" w:cs="Times New Roman" w:eastAsia="Times New Roman" w:hAnsi="Times New Roman"/>
          <w:b/>
          <w:bCs/>
          <w:sz w:val="24"/>
          <w:szCs w:val="24"/>
        </w:rPr>
        <w:t xml:space="preserve">6,218</w:t>
      </w:r>
      <w:r>
        <w:rPr>
          <w:rFonts w:ascii="Times New Roman" w:cs="Times New Roman" w:eastAsia="Times New Roman" w:hAnsi="Times New Roman"/>
          <w:sz w:val="24"/>
          <w:szCs w:val="24"/>
        </w:rPr>
        <w:t xml:space="preserve"> test records. Stratification preserved the 69.81:30.19 class proportion in both partitions. The test partition was held back entirely from model selection and was used once, for the final evaluation reported in Section 4.4.</w:t>
      </w:r>
    </w:p>
    <w:p>
      <w:pPr>
        <w:pStyle w:val="Heading2"/>
        <w:spacing w:after="120" w:before="240" w:line="360" w:lineRule="auto"/>
        <w:jc w:val="left"/>
      </w:pPr>
      <w:r>
        <w:rPr>
          <w:rFonts w:ascii="Times New Roman" w:cs="Times New Roman" w:eastAsia="Times New Roman" w:hAnsi="Times New Roman"/>
          <w:b/>
          <w:bCs/>
          <w:sz w:val="24"/>
          <w:szCs w:val="24"/>
        </w:rPr>
        <w:t xml:space="preserve">4.3 Model Design and Kernel Selection</w:t>
      </w:r>
    </w:p>
    <w:p>
      <w:pPr>
        <w:spacing w:after="160" w:line="360" w:lineRule="auto"/>
        <w:jc w:val="both"/>
      </w:pPr>
      <w:r>
        <w:rPr>
          <w:rFonts w:ascii="Times New Roman" w:cs="Times New Roman" w:eastAsia="Times New Roman" w:hAnsi="Times New Roman"/>
          <w:sz w:val="24"/>
          <w:szCs w:val="24"/>
        </w:rPr>
        <w:t xml:space="preserve">This section addresses Objective 2, which required the design of a machine learning model for typhoid using the Support Vector Machine.</w:t>
      </w:r>
    </w:p>
    <w:p>
      <w:pPr>
        <w:pStyle w:val="Heading3"/>
        <w:spacing w:after="100" w:before="200" w:line="360" w:lineRule="auto"/>
        <w:jc w:val="left"/>
      </w:pPr>
      <w:r>
        <w:rPr>
          <w:rFonts w:ascii="Times New Roman" w:cs="Times New Roman" w:eastAsia="Times New Roman" w:hAnsi="Times New Roman"/>
          <w:b/>
          <w:bCs/>
          <w:sz w:val="24"/>
          <w:szCs w:val="24"/>
        </w:rPr>
        <w:t xml:space="preserve">4.3.1 Comparison of kernel functions</w:t>
      </w:r>
    </w:p>
    <w:p>
      <w:pPr>
        <w:spacing w:after="160" w:line="360" w:lineRule="auto"/>
        <w:jc w:val="both"/>
      </w:pPr>
      <w:r>
        <w:rPr>
          <w:rFonts w:ascii="Times New Roman" w:cs="Times New Roman" w:eastAsia="Times New Roman" w:hAnsi="Times New Roman"/>
          <w:sz w:val="24"/>
          <w:szCs w:val="24"/>
        </w:rPr>
        <w:t xml:space="preserve">Three kernel functions — linear, polynomial and radial basis function — were evaluated at default hyperparameter settings, to establish which family of decision boundaries suited the data before committing computational effort to an exhaustive search. Table 4.4 reports the outcome.</w:t>
      </w:r>
    </w:p>
    <w:p>
      <w:pPr>
        <w:spacing w:after="80" w:before="160" w:line="240" w:lineRule="auto"/>
        <w:jc w:val="left"/>
      </w:pPr>
      <w:r>
        <w:rPr>
          <w:rFonts w:ascii="Times New Roman" w:cs="Times New Roman" w:eastAsia="Times New Roman" w:hAnsi="Times New Roman"/>
          <w:sz w:val="24"/>
          <w:szCs w:val="24"/>
        </w:rPr>
        <w:t xml:space="preserve">Table 4.4: Comparison of Kernel Functions on the Test Partition</w:t>
      </w:r>
    </w:p>
    <w:tbl>
      <w:tblPr>
        <w:tblW w:type="dxa" w:w="8785"/>
        <w:tblBorders>
          <w:top w:val="single" w:color="auto" w:sz="4"/>
          <w:left w:val="single" w:color="auto" w:sz="4"/>
          <w:bottom w:val="single" w:color="auto" w:sz="4"/>
          <w:right w:val="single" w:color="auto" w:sz="4"/>
          <w:insideH w:val="single" w:color="auto" w:sz="4"/>
          <w:insideV w:val="single" w:color="auto" w:sz="4"/>
        </w:tblBorders>
      </w:tblPr>
      <w:tblGrid>
        <w:gridCol w:w="2109"/>
        <w:gridCol w:w="1142"/>
        <w:gridCol w:w="1669"/>
        <w:gridCol w:w="1142"/>
        <w:gridCol w:w="1230"/>
        <w:gridCol w:w="1493"/>
      </w:tblGrid>
      <w:tr>
        <w:trPr>
          <w:tblHeader/>
        </w:trPr>
        <w:tc>
          <w:tcPr>
            <w:tcW w:type="dxa" w:w="210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Kernel</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Accuracy</w:t>
            </w:r>
          </w:p>
        </w:tc>
        <w:tc>
          <w:tcPr>
            <w:tcW w:type="dxa" w:w="166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Balanced accuracy</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Macro F1</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Weighted F1</w:t>
            </w:r>
          </w:p>
        </w:tc>
        <w:tc>
          <w:tcPr>
            <w:tcW w:type="dxa" w:w="1493"/>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Fit and predict (s)</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Linear</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0.9874</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11.3</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Polynomial</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0.9874</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25.3</w:t>
            </w:r>
          </w:p>
        </w:tc>
      </w:tr>
      <w:tr>
        <w:tc>
          <w:tcPr>
            <w:tcW w:type="dxa" w:w="210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Radial basis function</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0.9833</w:t>
            </w:r>
          </w:p>
        </w:tc>
        <w:tc>
          <w:tcPr>
            <w:tcW w:type="dxa" w:w="166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0.9723</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0.9798</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0.9831</w:t>
            </w:r>
          </w:p>
        </w:tc>
        <w:tc>
          <w:tcPr>
            <w:tcW w:type="dxa" w:w="1493"/>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24.9</w:t>
            </w:r>
          </w:p>
        </w:tc>
      </w:tr>
    </w:tbl>
    <w:p>
      <w:pPr>
        <w:spacing w:after="160" w:line="360" w:lineRule="auto"/>
        <w:jc w:val="both"/>
      </w:pPr>
      <w:r>
        <w:rPr>
          <w:rFonts w:ascii="Times New Roman" w:cs="Times New Roman" w:eastAsia="Times New Roman" w:hAnsi="Times New Roman"/>
          <w:sz w:val="24"/>
          <w:szCs w:val="24"/>
        </w:rPr>
        <w:t xml:space="preserve">The linear and polynomial kernels produced identical scores to four decimal places, and the linear kernel did so in less than half the time. The radial basis function trailed by four tenths of an accuracy point. That the simplest kernel performs at least as well as the more flexible ones indicates that the boundary separating the two classes is close to linear in the encoded feature space — an observation returned to in Section 4.6.</w:t>
      </w:r>
    </w:p>
    <w:p>
      <w:pPr>
        <w:pStyle w:val="Heading3"/>
        <w:spacing w:after="100" w:before="200" w:line="360" w:lineRule="auto"/>
        <w:jc w:val="left"/>
      </w:pPr>
      <w:r>
        <w:rPr>
          <w:rFonts w:ascii="Times New Roman" w:cs="Times New Roman" w:eastAsia="Times New Roman" w:hAnsi="Times New Roman"/>
          <w:b/>
          <w:bCs/>
          <w:sz w:val="24"/>
          <w:szCs w:val="24"/>
        </w:rPr>
        <w:t xml:space="preserve">4.3.2 Hyperparameter optimisation</w:t>
      </w:r>
    </w:p>
    <w:p>
      <w:pPr>
        <w:spacing w:after="160" w:line="360" w:lineRule="auto"/>
        <w:jc w:val="both"/>
      </w:pPr>
      <w:r>
        <w:rPr>
          <w:rFonts w:ascii="Times New Roman" w:cs="Times New Roman" w:eastAsia="Times New Roman" w:hAnsi="Times New Roman"/>
          <w:sz w:val="24"/>
          <w:szCs w:val="24"/>
        </w:rPr>
        <w:t xml:space="preserve">Grid Search with three-fold stratified cross-validation was applied over </w:t>
      </w:r>
      <w:r>
        <w:rPr>
          <w:rFonts w:ascii="Times New Roman" w:cs="Times New Roman" w:eastAsia="Times New Roman" w:hAnsi="Times New Roman"/>
          <w:b/>
          <w:bCs/>
          <w:sz w:val="24"/>
          <w:szCs w:val="24"/>
        </w:rPr>
        <w:t xml:space="preserve">24</w:t>
      </w:r>
      <w:r>
        <w:rPr>
          <w:rFonts w:ascii="Times New Roman" w:cs="Times New Roman" w:eastAsia="Times New Roman" w:hAnsi="Times New Roman"/>
          <w:sz w:val="24"/>
          <w:szCs w:val="24"/>
        </w:rPr>
        <w:t xml:space="preserve"> candidate configurations, selected on macro F1. The search space was expressed per kernel rather than as a single Cartesian product, since gamma is ignored by the linear kernel and degree by both the linear and radial basis function kernels; expressing it per kernel avoids fitting configurations that differ only in a parameter the kernel does not use. The search ran on the full training partition of 24,869 records and completed in 500.8 seconds of wall-clock time. Table 4.5 reports the five fastest of the twelve configurations that tied for first place.</w:t>
      </w:r>
    </w:p>
    <w:p>
      <w:pPr>
        <w:spacing w:after="80" w:before="160" w:line="240" w:lineRule="auto"/>
        <w:jc w:val="left"/>
      </w:pPr>
      <w:r>
        <w:rPr>
          <w:rFonts w:ascii="Times New Roman" w:cs="Times New Roman" w:eastAsia="Times New Roman" w:hAnsi="Times New Roman"/>
          <w:sz w:val="24"/>
          <w:szCs w:val="24"/>
        </w:rPr>
        <w:t xml:space="preserve">Table 4.5: Five Best Configurations from Grid Search</w:t>
      </w:r>
    </w:p>
    <w:tbl>
      <w:tblPr>
        <w:tblW w:type="dxa" w:w="8785"/>
        <w:tblBorders>
          <w:top w:val="single" w:color="auto" w:sz="4"/>
          <w:left w:val="single" w:color="auto" w:sz="4"/>
          <w:bottom w:val="single" w:color="auto" w:sz="4"/>
          <w:right w:val="single" w:color="auto" w:sz="4"/>
          <w:insideH w:val="single" w:color="auto" w:sz="4"/>
          <w:insideV w:val="single" w:color="auto" w:sz="4"/>
        </w:tblBorders>
      </w:tblPr>
      <w:tblGrid>
        <w:gridCol w:w="790"/>
        <w:gridCol w:w="3515"/>
        <w:gridCol w:w="1669"/>
        <w:gridCol w:w="1142"/>
        <w:gridCol w:w="1669"/>
      </w:tblGrid>
      <w:tr>
        <w:trPr>
          <w:tblHeader/>
        </w:trPr>
        <w:tc>
          <w:tcPr>
            <w:tcW w:type="dxa" w:w="790"/>
            <w:tcBorders>
              <w:top w:val="single" w:color="000000" w:sz="6"/>
              <w:left w:val="none" w:color="FFFFFF" w:sz="0"/>
              <w:bottom w:val="single" w:color="000000" w:sz="6"/>
              <w:right w:val="none" w:color="FFFFFF" w:sz="0"/>
            </w:tcBorders>
            <w:shd w:fill="FFFFFF" w:val="clear"/>
          </w:tcPr>
          <w:p>
            <w:pPr>
              <w:spacing w:after="40" w:before="40" w:line="240" w:lineRule="auto"/>
              <w:jc w:val="center"/>
            </w:pPr>
            <w:r>
              <w:rPr>
                <w:rFonts w:ascii="Times New Roman" w:cs="Times New Roman" w:eastAsia="Times New Roman" w:hAnsi="Times New Roman"/>
                <w:b/>
                <w:bCs/>
                <w:sz w:val="20"/>
                <w:szCs w:val="20"/>
              </w:rPr>
              <w:t xml:space="preserve">Rank</w:t>
            </w:r>
          </w:p>
        </w:tc>
        <w:tc>
          <w:tcPr>
            <w:tcW w:type="dxa" w:w="3515"/>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Configuration</w:t>
            </w:r>
          </w:p>
        </w:tc>
        <w:tc>
          <w:tcPr>
            <w:tcW w:type="dxa" w:w="166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Mean CV macro F1</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Std. dev.</w:t>
            </w:r>
          </w:p>
        </w:tc>
        <w:tc>
          <w:tcPr>
            <w:tcW w:type="dxa" w:w="166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Mean fit time (s)</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w:t>
            </w:r>
          </w:p>
        </w:tc>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linear, C = 1.0</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0.0020</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5.1</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w:t>
            </w:r>
          </w:p>
        </w:tc>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linear, C = 0.1</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0.0020</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5.3</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w:t>
            </w:r>
          </w:p>
        </w:tc>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poly, C = 1.0, degree = 2, γ = scale</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0.0020</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6.2</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w:t>
            </w:r>
          </w:p>
        </w:tc>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poly, C = 1.0, degree = 2, γ = 0.1</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0.0020</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6.6</w:t>
            </w:r>
          </w:p>
        </w:tc>
      </w:tr>
      <w:tr>
        <w:tc>
          <w:tcPr>
            <w:tcW w:type="dxa" w:w="790"/>
            <w:tcBorders>
              <w:top w:val="none" w:color="FFFFFF" w:sz="0"/>
              <w:left w:val="none" w:color="FFFFFF" w:sz="0"/>
              <w:bottom w:val="single" w:color="000000" w:sz="6"/>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w:t>
            </w:r>
          </w:p>
        </w:tc>
        <w:tc>
          <w:tcPr>
            <w:tcW w:type="dxa" w:w="3515"/>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linear, C = 10.0</w:t>
            </w:r>
          </w:p>
        </w:tc>
        <w:tc>
          <w:tcPr>
            <w:tcW w:type="dxa" w:w="166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0.9842</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0.0020</w:t>
            </w:r>
          </w:p>
        </w:tc>
        <w:tc>
          <w:tcPr>
            <w:tcW w:type="dxa" w:w="166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10.6</w:t>
            </w:r>
          </w:p>
        </w:tc>
      </w:tr>
    </w:tbl>
    <w:p>
      <w:pPr>
        <w:spacing w:after="160" w:line="360" w:lineRule="auto"/>
        <w:jc w:val="both"/>
      </w:pPr>
      <w:r>
        <w:rPr>
          <w:rFonts w:ascii="Times New Roman" w:cs="Times New Roman" w:eastAsia="Times New Roman" w:hAnsi="Times New Roman"/>
          <w:sz w:val="24"/>
          <w:szCs w:val="24"/>
        </w:rPr>
        <w:t xml:space="preserve">Twelve of the twenty-four configurations tied at a cross-validated macro F1 of </w:t>
      </w:r>
      <w:r>
        <w:rPr>
          <w:rFonts w:ascii="Times New Roman" w:cs="Times New Roman" w:eastAsia="Times New Roman" w:hAnsi="Times New Roman"/>
          <w:b/>
          <w:bCs/>
          <w:sz w:val="24"/>
          <w:szCs w:val="24"/>
        </w:rPr>
        <w:t xml:space="preserve">0.9842</w:t>
      </w:r>
      <w:r>
        <w:rPr>
          <w:rFonts w:ascii="Times New Roman" w:cs="Times New Roman" w:eastAsia="Times New Roman" w:hAnsi="Times New Roman"/>
          <w:sz w:val="24"/>
          <w:szCs w:val="24"/>
        </w:rPr>
        <w:t xml:space="preserve">, identical to four decimal places, spanning all three kernels and every value of C. The selected configuration was a linear kernel with C = 0.1, which is the fastest of the twelve and the least flexible. The optimisation therefore did not identify a materially superior kernel so much as demonstrate that the problem is insensitive to kernel choice altogether. A tie of this size across families of decision boundary is not the usual behaviour of a hyperparameter search, and Section 4.6 explains why it occurs here. The probability outputs of the selected model were subsequently calibrated using Platt scaling fitted out of fold, so that the reported probabilities carry a defensible interpretation as risk estimates.</w:t>
      </w:r>
    </w:p>
    <w:p>
      <w:pPr>
        <w:pStyle w:val="Heading2"/>
        <w:spacing w:after="120" w:before="240" w:line="360" w:lineRule="auto"/>
        <w:jc w:val="left"/>
      </w:pPr>
      <w:r>
        <w:rPr>
          <w:rFonts w:ascii="Times New Roman" w:cs="Times New Roman" w:eastAsia="Times New Roman" w:hAnsi="Times New Roman"/>
          <w:b/>
          <w:bCs/>
          <w:sz w:val="24"/>
          <w:szCs w:val="24"/>
        </w:rPr>
        <w:t xml:space="preserve">4.4 Predictive Performance of the Optimised Model</w:t>
      </w:r>
    </w:p>
    <w:p>
      <w:pPr>
        <w:spacing w:after="160" w:line="360" w:lineRule="auto"/>
        <w:jc w:val="both"/>
      </w:pPr>
      <w:r>
        <w:rPr>
          <w:rFonts w:ascii="Times New Roman" w:cs="Times New Roman" w:eastAsia="Times New Roman" w:hAnsi="Times New Roman"/>
          <w:sz w:val="24"/>
          <w:szCs w:val="24"/>
        </w:rPr>
        <w:t xml:space="preserve">This section addresses Objective 3, which required the development and training of the SVM model on the preprocessed dataset. All figures in this section were computed on the 6,218 held-out test records, which took no part in training, cross-validation or model selection.</w:t>
      </w:r>
    </w:p>
    <w:p>
      <w:pPr>
        <w:pStyle w:val="Heading3"/>
        <w:spacing w:after="100" w:before="200" w:line="360" w:lineRule="auto"/>
        <w:jc w:val="left"/>
      </w:pPr>
      <w:r>
        <w:rPr>
          <w:rFonts w:ascii="Times New Roman" w:cs="Times New Roman" w:eastAsia="Times New Roman" w:hAnsi="Times New Roman"/>
          <w:b/>
          <w:bCs/>
          <w:sz w:val="24"/>
          <w:szCs w:val="24"/>
        </w:rPr>
        <w:t xml:space="preserve">4.4.1 Overall classification performance</w:t>
      </w:r>
    </w:p>
    <w:p>
      <w:pPr>
        <w:spacing w:after="80" w:before="160" w:line="240" w:lineRule="auto"/>
        <w:jc w:val="left"/>
      </w:pPr>
      <w:r>
        <w:rPr>
          <w:rFonts w:ascii="Times New Roman" w:cs="Times New Roman" w:eastAsia="Times New Roman" w:hAnsi="Times New Roman"/>
          <w:sz w:val="24"/>
          <w:szCs w:val="24"/>
        </w:rPr>
        <w:t xml:space="preserve">Table 4.6: Classification Performance on the Held-out Test Partition</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5096"/>
        <w:gridCol w:w="3690"/>
      </w:tblGrid>
      <w:tr>
        <w:trPr>
          <w:tblHeader/>
        </w:trPr>
        <w:tc>
          <w:tcPr>
            <w:tcW w:type="dxa" w:w="509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Metric</w:t>
            </w:r>
          </w:p>
        </w:tc>
        <w:tc>
          <w:tcPr>
            <w:tcW w:type="dxa" w:w="369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Value</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Accuracy</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 (98.75%)</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Balanced accuracy</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Macro precision</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0.9912</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Macro recall</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Macro F1 score</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Weighted F1 score</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0.9874</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Sensitivity (recall, typhoid class)</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Specificity</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Precision (typhoid class)</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False positive rate</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0.0000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False negative rate</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0.0416</w:t>
            </w:r>
          </w:p>
        </w:tc>
      </w:tr>
      <w:tr>
        <w:tc>
          <w:tcPr>
            <w:tcW w:type="dxa" w:w="509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ROC AUC</w:t>
            </w:r>
          </w:p>
        </w:tc>
        <w:tc>
          <w:tcPr>
            <w:tcW w:type="dxa" w:w="369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0.9804</w:t>
            </w:r>
          </w:p>
        </w:tc>
      </w:tr>
    </w:tbl>
    <w:p>
      <w:pPr>
        <w:spacing w:after="160" w:line="360" w:lineRule="auto"/>
        <w:jc w:val="both"/>
      </w:pPr>
      <w:r>
        <w:rPr>
          <w:rFonts w:ascii="Times New Roman" w:cs="Times New Roman" w:eastAsia="Times New Roman" w:hAnsi="Times New Roman"/>
          <w:sz w:val="24"/>
          <w:szCs w:val="24"/>
        </w:rPr>
        <w:t xml:space="preserve">The optimised model achieved an accuracy of 98.75% and a macro F1 score of 0.9849 on unseen data. Specificity was perfect: no disease-free patient in the test partition was flagged. Sensitivity was 0.9584, meaning that 4.16% of true typhoid cases were not detected.</w:t>
      </w:r>
    </w:p>
    <w:p>
      <w:pPr>
        <w:spacing w:after="160" w:line="360" w:lineRule="auto"/>
        <w:jc w:val="both"/>
      </w:pPr>
      <w:r>
        <w:rPr>
          <w:rFonts w:ascii="Times New Roman" w:cs="Times New Roman" w:eastAsia="Times New Roman" w:hAnsi="Times New Roman"/>
          <w:sz w:val="24"/>
          <w:szCs w:val="24"/>
        </w:rPr>
        <w:t xml:space="preserve">The clinical asymmetry between these two error types is material. A false positive costs one unnecessary confirmatory test; a false negative is a typhoid patient discharged untreated, which carries a case-fatality risk. A model that never raises a false alarm but misses one case in twenty-four is therefore not obviously preferable to one with the opposite profile, and Section 4.4.4 examines whether the decision threshold can be adjusted to improve the balance.</w:t>
      </w:r>
    </w:p>
    <w:p>
      <w:pPr>
        <w:pStyle w:val="Heading3"/>
        <w:spacing w:after="100" w:before="200" w:line="360" w:lineRule="auto"/>
        <w:jc w:val="left"/>
      </w:pPr>
      <w:r>
        <w:rPr>
          <w:rFonts w:ascii="Times New Roman" w:cs="Times New Roman" w:eastAsia="Times New Roman" w:hAnsi="Times New Roman"/>
          <w:b/>
          <w:bCs/>
          <w:sz w:val="24"/>
          <w:szCs w:val="24"/>
        </w:rPr>
        <w:t xml:space="preserve">4.4.2 Confusion matrix</w:t>
      </w:r>
    </w:p>
    <w:p>
      <w:pPr>
        <w:spacing w:after="160" w:line="360" w:lineRule="auto"/>
        <w:jc w:val="both"/>
      </w:pPr>
      <w:r>
        <w:rPr>
          <w:rFonts w:ascii="Times New Roman" w:cs="Times New Roman" w:eastAsia="Times New Roman" w:hAnsi="Times New Roman"/>
          <w:sz w:val="24"/>
          <w:szCs w:val="24"/>
        </w:rPr>
        <w:t xml:space="preserve">Table 4.7 and Figure 4.1 present the confusion matrix for the binary diagnostic model.</w:t>
      </w:r>
    </w:p>
    <w:p>
      <w:pPr>
        <w:spacing w:after="80" w:before="160" w:line="240" w:lineRule="auto"/>
        <w:jc w:val="left"/>
      </w:pPr>
      <w:r>
        <w:rPr>
          <w:rFonts w:ascii="Times New Roman" w:cs="Times New Roman" w:eastAsia="Times New Roman" w:hAnsi="Times New Roman"/>
          <w:sz w:val="24"/>
          <w:szCs w:val="24"/>
        </w:rPr>
        <w:t xml:space="preserve">Table 4.7: Confusion Matrix of the Binary Diagnostic Model</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460"/>
        <w:gridCol w:w="2284"/>
        <w:gridCol w:w="2109"/>
        <w:gridCol w:w="1933"/>
      </w:tblGrid>
      <w:tr>
        <w:trPr>
          <w:tblHeader/>
        </w:trPr>
        <w:tc>
          <w:tcPr>
            <w:tcW w:type="dxa" w:w="246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
            </w:r>
          </w:p>
        </w:tc>
        <w:tc>
          <w:tcPr>
            <w:tcW w:type="dxa" w:w="2284"/>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Predicted: No Typhoid</w:t>
            </w:r>
          </w:p>
        </w:tc>
        <w:tc>
          <w:tcPr>
            <w:tcW w:type="dxa" w:w="210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Predicted: Typhoid</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Total</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Actual: No Typhoid</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4,341 (TN)</w:t>
            </w:r>
          </w:p>
        </w:tc>
        <w:tc>
          <w:tcPr>
            <w:tcW w:type="dxa" w:w="210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 (FP)</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4,341</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Actual: Typhoid</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78 (FN)</w:t>
            </w:r>
          </w:p>
        </w:tc>
        <w:tc>
          <w:tcPr>
            <w:tcW w:type="dxa" w:w="210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1,799 (TP)</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1,877</w:t>
            </w:r>
          </w:p>
        </w:tc>
      </w:tr>
      <w:tr>
        <w:tc>
          <w:tcPr>
            <w:tcW w:type="dxa" w:w="246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Total</w:t>
            </w:r>
          </w:p>
        </w:tc>
        <w:tc>
          <w:tcPr>
            <w:tcW w:type="dxa" w:w="2284"/>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4,419</w:t>
            </w:r>
          </w:p>
        </w:tc>
        <w:tc>
          <w:tcPr>
            <w:tcW w:type="dxa" w:w="210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1,799</w:t>
            </w:r>
          </w:p>
        </w:tc>
        <w:tc>
          <w:tcPr>
            <w:tcW w:type="dxa" w:w="1933"/>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6,218</w:t>
            </w:r>
          </w:p>
        </w:tc>
      </w:tr>
    </w:tbl>
    <w:p>
      <w:pPr>
        <w:spacing w:after="0" w:before="160" w:line="240" w:lineRule="auto"/>
        <w:jc w:val="center"/>
      </w:pPr>
      <w:r>
        <w:drawing>
          <wp:inline distT="0" distB="0" distL="0" distR="0">
            <wp:extent cx="3429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2809875"/>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4.1.</w:t>
      </w:r>
      <w:r>
        <w:rPr>
          <w:rFonts w:ascii="Times New Roman" w:cs="Times New Roman" w:eastAsia="Times New Roman" w:hAnsi="Times New Roman"/>
          <w:sz w:val="24"/>
          <w:szCs w:val="24"/>
        </w:rPr>
        <w:t xml:space="preserve"> Confusion matrix of the optimised binary diagnostic model on the held-out test partition.</w:t>
      </w:r>
    </w:p>
    <w:p>
      <w:pPr>
        <w:spacing w:after="160" w:line="360" w:lineRule="auto"/>
        <w:jc w:val="both"/>
      </w:pPr>
      <w:r>
        <w:rPr>
          <w:rFonts w:ascii="Times New Roman" w:cs="Times New Roman" w:eastAsia="Times New Roman" w:hAnsi="Times New Roman"/>
          <w:sz w:val="24"/>
          <w:szCs w:val="24"/>
        </w:rPr>
        <w:t xml:space="preserve">The matrix confirms the asymmetry noted above. The zero in the false positive cell is unusual for a classifier operating on clinical data and is examined in Section 4.6.</w:t>
      </w:r>
    </w:p>
    <w:p>
      <w:pPr>
        <w:pStyle w:val="Heading3"/>
        <w:spacing w:after="100" w:before="200" w:line="360" w:lineRule="auto"/>
        <w:jc w:val="left"/>
      </w:pPr>
      <w:r>
        <w:rPr>
          <w:rFonts w:ascii="Times New Roman" w:cs="Times New Roman" w:eastAsia="Times New Roman" w:hAnsi="Times New Roman"/>
          <w:b/>
          <w:bCs/>
          <w:sz w:val="24"/>
          <w:szCs w:val="24"/>
        </w:rPr>
        <w:t xml:space="preserve">4.4.3 Per-class performance</w:t>
      </w:r>
    </w:p>
    <w:p>
      <w:pPr>
        <w:spacing w:after="80" w:before="160" w:line="240" w:lineRule="auto"/>
        <w:jc w:val="left"/>
      </w:pPr>
      <w:r>
        <w:rPr>
          <w:rFonts w:ascii="Times New Roman" w:cs="Times New Roman" w:eastAsia="Times New Roman" w:hAnsi="Times New Roman"/>
          <w:sz w:val="24"/>
          <w:szCs w:val="24"/>
        </w:rPr>
        <w:t xml:space="preserve">Table 4.8: Per-class Precision, Recall and F1 Score</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1230"/>
        <w:gridCol w:w="2460"/>
        <w:gridCol w:w="1230"/>
        <w:gridCol w:w="1142"/>
        <w:gridCol w:w="1318"/>
        <w:gridCol w:w="1406"/>
      </w:tblGrid>
      <w:tr>
        <w:trPr>
          <w:tblHeader/>
        </w:trPr>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Model</w:t>
            </w:r>
          </w:p>
        </w:tc>
        <w:tc>
          <w:tcPr>
            <w:tcW w:type="dxa" w:w="246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Class</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Precision</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Recall</w:t>
            </w:r>
          </w:p>
        </w:tc>
        <w:tc>
          <w:tcPr>
            <w:tcW w:type="dxa" w:w="1318"/>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F1 score</w:t>
            </w:r>
          </w:p>
        </w:tc>
        <w:tc>
          <w:tcPr>
            <w:tcW w:type="dxa" w:w="140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Support</w:t>
            </w:r>
          </w:p>
        </w:tc>
      </w:tr>
      <w:tr>
        <w:tc>
          <w:tcPr>
            <w:tcW w:type="dxa" w:w="123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Binary</w:t>
            </w:r>
          </w:p>
        </w:tc>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0.9823</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0.9911</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4,341</w:t>
            </w:r>
          </w:p>
        </w:tc>
      </w:tr>
      <w:tr>
        <w:tc>
          <w:tcPr>
            <w:tcW w:type="dxa" w:w="123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Binary</w:t>
            </w:r>
          </w:p>
        </w:tc>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0.9788</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1,877</w:t>
            </w:r>
          </w:p>
        </w:tc>
      </w:tr>
      <w:tr>
        <w:tc>
          <w:tcPr>
            <w:tcW w:type="dxa" w:w="123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Four-class</w:t>
            </w:r>
          </w:p>
        </w:tc>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Normal or No Typhoid</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0.9848</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0.9923</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4,341</w:t>
            </w:r>
          </w:p>
        </w:tc>
      </w:tr>
      <w:tr>
        <w:tc>
          <w:tcPr>
            <w:tcW w:type="dxa" w:w="123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Four-class</w:t>
            </w:r>
          </w:p>
        </w:tc>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Acute Typhoid Fever</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0.6049</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0.3265</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0.4241</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1,130</w:t>
            </w:r>
          </w:p>
        </w:tc>
      </w:tr>
      <w:tr>
        <w:tc>
          <w:tcPr>
            <w:tcW w:type="dxa" w:w="123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Four-class</w:t>
            </w:r>
          </w:p>
        </w:tc>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Relapsing Typhoid</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0.2492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0.2978</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0.2713</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497</w:t>
            </w:r>
          </w:p>
        </w:tc>
      </w:tr>
      <w:tr>
        <w:tc>
          <w:tcPr>
            <w:tcW w:type="dxa" w:w="123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Four-class</w:t>
            </w:r>
          </w:p>
        </w:tc>
        <w:tc>
          <w:tcPr>
            <w:tcW w:type="dxa" w:w="246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Complicated Typhoid</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0.1419</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0.3440</w:t>
            </w:r>
          </w:p>
        </w:tc>
        <w:tc>
          <w:tcPr>
            <w:tcW w:type="dxa" w:w="1318"/>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0.2009</w:t>
            </w:r>
          </w:p>
        </w:tc>
        <w:tc>
          <w:tcPr>
            <w:tcW w:type="dxa" w:w="140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250</w:t>
            </w:r>
          </w:p>
        </w:tc>
      </w:tr>
    </w:tbl>
    <w:p>
      <w:pPr>
        <w:spacing w:after="160" w:line="360" w:lineRule="auto"/>
        <w:jc w:val="both"/>
      </w:pPr>
      <w:r>
        <w:rPr>
          <w:rFonts w:ascii="Times New Roman" w:cs="Times New Roman" w:eastAsia="Times New Roman" w:hAnsi="Times New Roman"/>
          <w:sz w:val="24"/>
          <w:szCs w:val="24"/>
        </w:rPr>
        <w:t xml:space="preserve">A secondary four-category severity model was trained as an extension beyond the binary target specified in Section 3.1.1, and is reported here for completeness. It attained an accuracy of 79.51% but a macro F1 of only 0.4722. The gap between the two figures is the result of note: a high accuracy on a heavily imbalanced target is carried by the majority class, and a macro F1 well below it shows that the minority severity classes are not being recovered.</w:t>
      </w:r>
    </w:p>
    <w:p>
      <w:pPr>
        <w:spacing w:after="160" w:line="360" w:lineRule="auto"/>
        <w:jc w:val="both"/>
      </w:pPr>
      <w:r>
        <w:rPr>
          <w:rFonts w:ascii="Times New Roman" w:cs="Times New Roman" w:eastAsia="Times New Roman" w:hAnsi="Times New Roman"/>
          <w:sz w:val="24"/>
          <w:szCs w:val="24"/>
        </w:rPr>
        <w:t xml:space="preserve">This is a direct and expected consequence of the feature reduction described in Section 4.2.3, and it is stated here plainly rather than left to be inferred. Severity in this dataset is encoded almost entirely in the white blood cell count: every record labelled </w:t>
      </w:r>
      <w:r>
        <w:rPr>
          <w:rFonts w:ascii="Times New Roman" w:cs="Times New Roman" w:eastAsia="Times New Roman" w:hAnsi="Times New Roman"/>
          <w:i/>
          <w:iCs/>
          <w:sz w:val="24"/>
          <w:szCs w:val="24"/>
        </w:rPr>
        <w:t xml:space="preserve">Complicated Typhoid</w:t>
      </w:r>
      <w:r>
        <w:rPr>
          <w:rFonts w:ascii="Times New Roman" w:cs="Times New Roman" w:eastAsia="Times New Roman" w:hAnsi="Times New Roman"/>
          <w:sz w:val="24"/>
          <w:szCs w:val="24"/>
        </w:rPr>
        <w:t xml:space="preserve"> has a count above 11,000 cells per microlitre and no record of any other class does, so the two ranges do not overlap by a single count (Section 4.6). A model given that attribute separates the class perfectly; a model restricted to what a clinician can observe without a laboratory cannot, because the distinguishing information is itself a laboratory measurement. The distinction between </w:t>
      </w:r>
      <w:r>
        <w:rPr>
          <w:rFonts w:ascii="Times New Roman" w:cs="Times New Roman" w:eastAsia="Times New Roman" w:hAnsi="Times New Roman"/>
          <w:i/>
          <w:iCs/>
          <w:sz w:val="24"/>
          <w:szCs w:val="24"/>
        </w:rPr>
        <w:t xml:space="preserve">Acute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Relapsing Typhoid</w:t>
      </w:r>
      <w:r>
        <w:rPr>
          <w:rFonts w:ascii="Times New Roman" w:cs="Times New Roman" w:eastAsia="Times New Roman" w:hAnsi="Times New Roman"/>
          <w:sz w:val="24"/>
          <w:szCs w:val="24"/>
        </w:rPr>
        <w:t xml:space="preserve"> is not encoded in any attribute at all, and neither feature space recovers it.</w:t>
      </w:r>
    </w:p>
    <w:p>
      <w:pPr>
        <w:spacing w:after="160" w:line="360" w:lineRule="auto"/>
        <w:jc w:val="both"/>
      </w:pPr>
      <w:r>
        <w:rPr>
          <w:rFonts w:ascii="Times New Roman" w:cs="Times New Roman" w:eastAsia="Times New Roman" w:hAnsi="Times New Roman"/>
          <w:sz w:val="24"/>
          <w:szCs w:val="24"/>
        </w:rPr>
        <w:t xml:space="preserve">The practical reading is that severity stratification is not a point-of-care task on this data. The binary diagnostic model, which is the model the objectives specify and the deployed system serves by default, is unaffected: it loses 0.06 accuracy points to the reduction, as Table 4.14 records. Severity stratification is retained as a secondary output with this limitation stated, and Chapter Five recommends that it be revisited wherever haematology is available.</w:t>
      </w:r>
    </w:p>
    <w:p>
      <w:pPr>
        <w:pStyle w:val="Heading3"/>
        <w:spacing w:after="100" w:before="200" w:line="360" w:lineRule="auto"/>
        <w:jc w:val="left"/>
      </w:pPr>
      <w:r>
        <w:rPr>
          <w:rFonts w:ascii="Times New Roman" w:cs="Times New Roman" w:eastAsia="Times New Roman" w:hAnsi="Times New Roman"/>
          <w:b/>
          <w:bCs/>
          <w:sz w:val="24"/>
          <w:szCs w:val="24"/>
        </w:rPr>
        <w:t xml:space="preserve">4.4.4 Decision threshold and probability calibration</w:t>
      </w:r>
    </w:p>
    <w:p>
      <w:pPr>
        <w:spacing w:after="160" w:line="360" w:lineRule="auto"/>
        <w:jc w:val="both"/>
      </w:pPr>
      <w:r>
        <w:rPr>
          <w:rFonts w:ascii="Times New Roman" w:cs="Times New Roman" w:eastAsia="Times New Roman" w:hAnsi="Times New Roman"/>
          <w:sz w:val="24"/>
          <w:szCs w:val="24"/>
        </w:rPr>
        <w:t xml:space="preserve">Accuracy at the default 0.5 cut-off is not an adequate summary for a triage instrument. A tool used ahead of confirmatory testing should be tuned against the asymmetry between a missed case and an unnecessary test. The cut-off was therefore swept across its full range and candidate operating points derived under several cost weightings. Table 4.9 reports the principal candidates and Figure 4.2 plots the operating characteristics.</w:t>
      </w:r>
    </w:p>
    <w:p>
      <w:pPr>
        <w:spacing w:after="80" w:before="160" w:line="240" w:lineRule="auto"/>
        <w:jc w:val="left"/>
      </w:pPr>
      <w:r>
        <w:rPr>
          <w:rFonts w:ascii="Times New Roman" w:cs="Times New Roman" w:eastAsia="Times New Roman" w:hAnsi="Times New Roman"/>
          <w:sz w:val="24"/>
          <w:szCs w:val="24"/>
        </w:rPr>
        <w:t xml:space="preserve">Table 4.9: Candidate Decision Thresholds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460"/>
        <w:gridCol w:w="1054"/>
        <w:gridCol w:w="1406"/>
        <w:gridCol w:w="1406"/>
        <w:gridCol w:w="1230"/>
        <w:gridCol w:w="1230"/>
      </w:tblGrid>
      <w:tr>
        <w:trPr>
          <w:tblHeader/>
        </w:trPr>
        <w:tc>
          <w:tcPr>
            <w:tcW w:type="dxa" w:w="246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Operating point</w:t>
            </w:r>
          </w:p>
        </w:tc>
        <w:tc>
          <w:tcPr>
            <w:tcW w:type="dxa" w:w="1054"/>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Cut-off</w:t>
            </w:r>
          </w:p>
        </w:tc>
        <w:tc>
          <w:tcPr>
            <w:tcW w:type="dxa" w:w="140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Sensitivity</w:t>
            </w:r>
          </w:p>
        </w:tc>
        <w:tc>
          <w:tcPr>
            <w:tcW w:type="dxa" w:w="140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Specificity</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False neg.</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False pos.</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Library default</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0.50</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78</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Maximum Youden's J</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0.03</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78</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Maximum F1</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0.03</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78</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Cost ratio 10:1 (adopted)</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0.03</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78</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Cost ratio 20:1</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0.03</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78</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46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Sensitivity ≥ 0.99</w:t>
            </w:r>
          </w:p>
        </w:tc>
        <w:tc>
          <w:tcPr>
            <w:tcW w:type="dxa" w:w="1054"/>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0.01</w:t>
            </w:r>
          </w:p>
        </w:tc>
        <w:tc>
          <w:tcPr>
            <w:tcW w:type="dxa" w:w="140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40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0.0000</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4,341</w:t>
            </w:r>
          </w:p>
        </w:tc>
      </w:tr>
    </w:tbl>
    <w:p>
      <w:pPr>
        <w:spacing w:after="0" w:before="160" w:line="240" w:lineRule="auto"/>
        <w:jc w:val="center"/>
      </w:pPr>
      <w:r>
        <w:drawing>
          <wp:inline distT="0" distB="0" distL="0" distR="0">
            <wp:extent cx="44767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724025"/>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4.2.</w:t>
      </w:r>
      <w:r>
        <w:rPr>
          <w:rFonts w:ascii="Times New Roman" w:cs="Times New Roman" w:eastAsia="Times New Roman" w:hAnsi="Times New Roman"/>
          <w:sz w:val="24"/>
          <w:szCs w:val="24"/>
        </w:rPr>
        <w:t xml:space="preserve"> Operating characteristics and expected cost against the decision threshold.</w:t>
      </w:r>
    </w:p>
    <w:p>
      <w:pPr>
        <w:spacing w:after="160" w:line="360" w:lineRule="auto"/>
        <w:jc w:val="both"/>
      </w:pPr>
      <w:r>
        <w:rPr>
          <w:rFonts w:ascii="Times New Roman" w:cs="Times New Roman" w:eastAsia="Times New Roman" w:hAnsi="Times New Roman"/>
          <w:sz w:val="24"/>
          <w:szCs w:val="24"/>
        </w:rPr>
        <w:t xml:space="preserve">Weighting a missed case as ten times as damaging as an unnecessary confirmatory test selects a cut-off of </w:t>
      </w:r>
      <w:r>
        <w:rPr>
          <w:rFonts w:ascii="Times New Roman" w:cs="Times New Roman" w:eastAsia="Times New Roman" w:hAnsi="Times New Roman"/>
          <w:b/>
          <w:bCs/>
          <w:sz w:val="24"/>
          <w:szCs w:val="24"/>
        </w:rPr>
        <w:t xml:space="preserve">0.03</w:t>
      </w:r>
      <w:r>
        <w:rPr>
          <w:rFonts w:ascii="Times New Roman" w:cs="Times New Roman" w:eastAsia="Times New Roman" w:hAnsi="Times New Roman"/>
          <w:sz w:val="24"/>
          <w:szCs w:val="24"/>
        </w:rPr>
        <w:t xml:space="preserve">, and this value was adopted as the referral threshold in the deployed application. Its practical effect, however, is nil: moving from 0.50 to 0.03 changes neither the number of missed cases nor the number of false alarms, and every cost weighting from 1:1 to 20:1 selects the same cut-off. On a model that had learned a graded representation of risk, a sweep across this range would ordinarily move sensitivity by tens of percentage points. The flatness of the curve is itself a finding, and is interpreted in Section 4.6.</w:t>
      </w:r>
    </w:p>
    <w:p>
      <w:pPr>
        <w:spacing w:after="160" w:line="360" w:lineRule="auto"/>
        <w:jc w:val="both"/>
      </w:pPr>
      <w:r>
        <w:rPr>
          <w:rFonts w:ascii="Times New Roman" w:cs="Times New Roman" w:eastAsia="Times New Roman" w:hAnsi="Times New Roman"/>
          <w:sz w:val="24"/>
          <w:szCs w:val="24"/>
        </w:rPr>
        <w:t xml:space="preserve">The reliability of the calibrated probabilities was assessed separately, since a threshold is only meaningful if the probability to which it is applied means what it states. The Platt-scaled outputs achieved a Brier score of </w:t>
      </w:r>
      <w:r>
        <w:rPr>
          <w:rFonts w:ascii="Times New Roman" w:cs="Times New Roman" w:eastAsia="Times New Roman" w:hAnsi="Times New Roman"/>
          <w:b/>
          <w:bCs/>
          <w:sz w:val="24"/>
          <w:szCs w:val="24"/>
        </w:rPr>
        <w:t xml:space="preserve">0.0124</w:t>
      </w:r>
      <w:r>
        <w:rPr>
          <w:rFonts w:ascii="Times New Roman" w:cs="Times New Roman" w:eastAsia="Times New Roman" w:hAnsi="Times New Roman"/>
          <w:sz w:val="24"/>
          <w:szCs w:val="24"/>
        </w:rPr>
        <w:t xml:space="preserve"> and an expected calibration error of </w:t>
      </w:r>
      <w:r>
        <w:rPr>
          <w:rFonts w:ascii="Times New Roman" w:cs="Times New Roman" w:eastAsia="Times New Roman" w:hAnsi="Times New Roman"/>
          <w:b/>
          <w:bCs/>
          <w:sz w:val="24"/>
          <w:szCs w:val="24"/>
        </w:rPr>
        <w:t xml:space="preserve">0.0046</w:t>
      </w:r>
      <w:r>
        <w:rPr>
          <w:rFonts w:ascii="Times New Roman" w:cs="Times New Roman" w:eastAsia="Times New Roman" w:hAnsi="Times New Roman"/>
          <w:sz w:val="24"/>
          <w:szCs w:val="24"/>
        </w:rPr>
        <w:t xml:space="preserve">, as shown in Figure 4.3. The model is therefore well calibrated: among patients assigned a risk of eighty per cent, approximately eighty per cent are in fact positive.</w:t>
      </w:r>
    </w:p>
    <w:p>
      <w:pPr>
        <w:spacing w:after="0" w:before="160" w:line="240" w:lineRule="auto"/>
        <w:jc w:val="center"/>
      </w:pPr>
      <w:r>
        <w:drawing>
          <wp:inline distT="0" distB="0" distL="0" distR="0">
            <wp:extent cx="3048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847975"/>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4.3.</w:t>
      </w:r>
      <w:r>
        <w:rPr>
          <w:rFonts w:ascii="Times New Roman" w:cs="Times New Roman" w:eastAsia="Times New Roman" w:hAnsi="Times New Roman"/>
          <w:sz w:val="24"/>
          <w:szCs w:val="24"/>
        </w:rPr>
        <w:t xml:space="preserve"> Reliability diagram for the calibrated binary model.</w:t>
      </w:r>
    </w:p>
    <w:p>
      <w:pPr>
        <w:pStyle w:val="Heading3"/>
        <w:spacing w:after="100" w:before="200" w:line="360" w:lineRule="auto"/>
        <w:jc w:val="left"/>
      </w:pPr>
      <w:r>
        <w:rPr>
          <w:rFonts w:ascii="Times New Roman" w:cs="Times New Roman" w:eastAsia="Times New Roman" w:hAnsi="Times New Roman"/>
          <w:b/>
          <w:bCs/>
          <w:sz w:val="24"/>
          <w:szCs w:val="24"/>
        </w:rPr>
        <w:t xml:space="preserve">4.4.5 Computational efficiency</w:t>
      </w:r>
    </w:p>
    <w:p>
      <w:pPr>
        <w:spacing w:after="160" w:line="360" w:lineRule="auto"/>
        <w:jc w:val="both"/>
      </w:pPr>
      <w:r>
        <w:rPr>
          <w:rFonts w:ascii="Times New Roman" w:cs="Times New Roman" w:eastAsia="Times New Roman" w:hAnsi="Times New Roman"/>
          <w:sz w:val="24"/>
          <w:szCs w:val="24"/>
        </w:rPr>
        <w:t xml:space="preserve">Table 4.10 reports inference latency, corresponding to the Processing Time metric specified in Table 3.1 of the methodology.</w:t>
      </w:r>
    </w:p>
    <w:p>
      <w:pPr>
        <w:spacing w:after="80" w:before="160" w:line="240" w:lineRule="auto"/>
        <w:jc w:val="left"/>
      </w:pPr>
      <w:r>
        <w:rPr>
          <w:rFonts w:ascii="Times New Roman" w:cs="Times New Roman" w:eastAsia="Times New Roman" w:hAnsi="Times New Roman"/>
          <w:sz w:val="24"/>
          <w:szCs w:val="24"/>
        </w:rPr>
        <w:t xml:space="preserve">Table 4.10: Computational Efficiency of the Optimised Model</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5096"/>
        <w:gridCol w:w="3690"/>
      </w:tblGrid>
      <w:tr>
        <w:trPr>
          <w:tblHeader/>
        </w:trPr>
        <w:tc>
          <w:tcPr>
            <w:tcW w:type="dxa" w:w="509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Measure</w:t>
            </w:r>
          </w:p>
        </w:tc>
        <w:tc>
          <w:tcPr>
            <w:tcW w:type="dxa" w:w="369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Value</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Single-record inference latency</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7.78 ms</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Batch throughput</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4,379.5 records per second</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Batch size measured</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2,000 records</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Trained model artefact size</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491 KB</w:t>
            </w:r>
          </w:p>
        </w:tc>
      </w:tr>
      <w:tr>
        <w:tc>
          <w:tcPr>
            <w:tcW w:type="dxa" w:w="509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Deployed process memory footprint</w:t>
            </w:r>
          </w:p>
        </w:tc>
        <w:tc>
          <w:tcPr>
            <w:tcW w:type="dxa" w:w="369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240 MB</w:t>
            </w:r>
          </w:p>
        </w:tc>
      </w:tr>
    </w:tbl>
    <w:p>
      <w:pPr>
        <w:spacing w:after="160" w:line="360" w:lineRule="auto"/>
        <w:jc w:val="both"/>
      </w:pPr>
      <w:r>
        <w:rPr>
          <w:rFonts w:ascii="Times New Roman" w:cs="Times New Roman" w:eastAsia="Times New Roman" w:hAnsi="Times New Roman"/>
          <w:sz w:val="24"/>
          <w:szCs w:val="24"/>
        </w:rPr>
        <w:t xml:space="preserve">A single prediction completes in under eight milliseconds on commodity hardware, and the trained artefact occupies 491 KB. Both figures satisfy the real-time, point-of-care requirement stated in the aim, and confirm that the computational demands of the model are not a barrier to deployment in a resource-limited setting. The practical constraint on such deployment is network availability and device provisioning rather than inference cost.</w:t>
      </w:r>
    </w:p>
    <w:p>
      <w:pPr>
        <w:pStyle w:val="Heading2"/>
        <w:spacing w:after="120" w:before="240" w:line="360" w:lineRule="auto"/>
        <w:jc w:val="left"/>
      </w:pPr>
      <w:r>
        <w:rPr>
          <w:rFonts w:ascii="Times New Roman" w:cs="Times New Roman" w:eastAsia="Times New Roman" w:hAnsi="Times New Roman"/>
          <w:b/>
          <w:bCs/>
          <w:sz w:val="24"/>
          <w:szCs w:val="24"/>
        </w:rPr>
        <w:t xml:space="preserve">4.5 Scalability Across Geographic Settings</w:t>
      </w:r>
    </w:p>
    <w:p>
      <w:pPr>
        <w:spacing w:after="160" w:line="360" w:lineRule="auto"/>
        <w:jc w:val="both"/>
      </w:pPr>
      <w:r>
        <w:rPr>
          <w:rFonts w:ascii="Times New Roman" w:cs="Times New Roman" w:eastAsia="Times New Roman" w:hAnsi="Times New Roman"/>
          <w:sz w:val="24"/>
          <w:szCs w:val="24"/>
        </w:rPr>
        <w:t xml:space="preserve">This section addresses Objective 4, which required evaluation of the model across diverse geographic regions and healthcare environments by splitting the dataset into subgroups based on Location. The held-out test partition was stratified by the Location attribute and the full metric set recomputed within each subgroup. Table 4.11 reports the result.</w:t>
      </w:r>
    </w:p>
    <w:p>
      <w:pPr>
        <w:spacing w:after="80" w:before="160" w:line="240" w:lineRule="auto"/>
        <w:jc w:val="left"/>
      </w:pPr>
      <w:r>
        <w:rPr>
          <w:rFonts w:ascii="Times New Roman" w:cs="Times New Roman" w:eastAsia="Times New Roman" w:hAnsi="Times New Roman"/>
          <w:sz w:val="24"/>
          <w:szCs w:val="24"/>
        </w:rPr>
        <w:t xml:space="preserve">Table 4.11: Model Performance by Geographic Setting</w:t>
      </w:r>
    </w:p>
    <w:tbl>
      <w:tblPr>
        <w:tblW w:type="dxa" w:w="8785"/>
        <w:tblBorders>
          <w:top w:val="single" w:color="auto" w:sz="4"/>
          <w:left w:val="single" w:color="auto" w:sz="4"/>
          <w:bottom w:val="single" w:color="auto" w:sz="4"/>
          <w:right w:val="single" w:color="auto" w:sz="4"/>
          <w:insideH w:val="single" w:color="auto" w:sz="4"/>
          <w:insideV w:val="single" w:color="auto" w:sz="4"/>
        </w:tblBorders>
      </w:tblPr>
      <w:tblGrid>
        <w:gridCol w:w="1318"/>
        <w:gridCol w:w="878"/>
        <w:gridCol w:w="1230"/>
        <w:gridCol w:w="1669"/>
        <w:gridCol w:w="1142"/>
        <w:gridCol w:w="1318"/>
        <w:gridCol w:w="1230"/>
      </w:tblGrid>
      <w:tr>
        <w:trPr>
          <w:tblHeader/>
        </w:trPr>
        <w:tc>
          <w:tcPr>
            <w:tcW w:type="dxa" w:w="1318"/>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Location</w:t>
            </w:r>
          </w:p>
        </w:tc>
        <w:tc>
          <w:tcPr>
            <w:tcW w:type="dxa" w:w="878"/>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n</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Accuracy</w:t>
            </w:r>
          </w:p>
        </w:tc>
        <w:tc>
          <w:tcPr>
            <w:tcW w:type="dxa" w:w="166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Balanced accuracy</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Macro F1</w:t>
            </w:r>
          </w:p>
        </w:tc>
        <w:tc>
          <w:tcPr>
            <w:tcW w:type="dxa" w:w="1318"/>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Sensitivity</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Specificity</w:t>
            </w:r>
          </w:p>
        </w:tc>
      </w:tr>
      <w:tr>
        <w:tc>
          <w:tcPr>
            <w:tcW w:type="dxa" w:w="13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Endemic</w:t>
            </w:r>
          </w:p>
        </w:tc>
        <w:tc>
          <w:tcPr>
            <w:tcW w:type="dxa" w:w="87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2,084</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0.9856</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0.9773</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0.9832</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0.9547</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r>
      <w:tr>
        <w:tc>
          <w:tcPr>
            <w:tcW w:type="dxa" w:w="13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Rural</w:t>
            </w:r>
          </w:p>
        </w:tc>
        <w:tc>
          <w:tcPr>
            <w:tcW w:type="dxa" w:w="87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2,046</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0.9912</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0.9847</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0.9892</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0.9694</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r>
      <w:tr>
        <w:tc>
          <w:tcPr>
            <w:tcW w:type="dxa" w:w="1318"/>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Urban</w:t>
            </w:r>
          </w:p>
        </w:tc>
        <w:tc>
          <w:tcPr>
            <w:tcW w:type="dxa" w:w="878"/>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2,088</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0.9856</w:t>
            </w:r>
          </w:p>
        </w:tc>
        <w:tc>
          <w:tcPr>
            <w:tcW w:type="dxa" w:w="166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0.9761</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0.9827</w:t>
            </w:r>
          </w:p>
        </w:tc>
        <w:tc>
          <w:tcPr>
            <w:tcW w:type="dxa" w:w="1318"/>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0.9522</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r>
    </w:tbl>
    <w:p>
      <w:pPr>
        <w:spacing w:after="160" w:line="360" w:lineRule="auto"/>
        <w:jc w:val="both"/>
      </w:pPr>
      <w:r>
        <w:rPr>
          <w:rFonts w:ascii="Times New Roman" w:cs="Times New Roman" w:eastAsia="Times New Roman" w:hAnsi="Times New Roman"/>
          <w:sz w:val="24"/>
          <w:szCs w:val="24"/>
        </w:rPr>
        <w:t xml:space="preserve">Macro F1 varied by only </w:t>
      </w:r>
      <w:r>
        <w:rPr>
          <w:rFonts w:ascii="Times New Roman" w:cs="Times New Roman" w:eastAsia="Times New Roman" w:hAnsi="Times New Roman"/>
          <w:b/>
          <w:bCs/>
          <w:sz w:val="24"/>
          <w:szCs w:val="24"/>
        </w:rPr>
        <w:t xml:space="preserve">0.0065</w:t>
      </w:r>
      <w:r>
        <w:rPr>
          <w:rFonts w:ascii="Times New Roman" w:cs="Times New Roman" w:eastAsia="Times New Roman" w:hAnsi="Times New Roman"/>
          <w:sz w:val="24"/>
          <w:szCs w:val="24"/>
        </w:rPr>
        <w:t xml:space="preserve"> across the endemic, rural and urban subgroups, from 0.9827 in the urban subgroup to 0.9892 in the rural subgroup. Sensitivity varied by 0.0172 and specificity was identical at 1.0000 in all three. The model therefore does not degrade in any one setting, and Objective 4 is satisfied as stated.</w:t>
      </w:r>
    </w:p>
    <w:p>
      <w:pPr>
        <w:spacing w:after="160" w:line="360" w:lineRule="auto"/>
        <w:jc w:val="both"/>
      </w:pPr>
      <w:r>
        <w:rPr>
          <w:rFonts w:ascii="Times New Roman" w:cs="Times New Roman" w:eastAsia="Times New Roman" w:hAnsi="Times New Roman"/>
          <w:sz w:val="24"/>
          <w:szCs w:val="24"/>
        </w:rPr>
        <w:t xml:space="preserve">This result requires one qualification, which is developed in Section 4.6. The Location attribute is statistically independent of the diagnosis in this dataset, with a Cramér's V of 0.0120. Uniform performance across locations therefore reflects the absence of geographic variation in the data rather than demonstrated robustness to it. A model validated on data in which setting genuinely influences presentation might behave differently, and the finding should be reported as evidence of internal consistency rather than of external generalisability.</w:t>
      </w:r>
    </w:p>
    <w:p>
      <w:pPr>
        <w:pStyle w:val="Heading2"/>
        <w:spacing w:after="120" w:before="240" w:line="360" w:lineRule="auto"/>
        <w:jc w:val="left"/>
      </w:pPr>
      <w:r>
        <w:rPr>
          <w:rFonts w:ascii="Times New Roman" w:cs="Times New Roman" w:eastAsia="Times New Roman" w:hAnsi="Times New Roman"/>
          <w:b/>
          <w:bCs/>
          <w:sz w:val="24"/>
          <w:szCs w:val="24"/>
        </w:rPr>
        <w:t xml:space="preserve">4.6 Signal Audit and Validity of the Reported Performance</w:t>
      </w:r>
    </w:p>
    <w:p>
      <w:pPr>
        <w:spacing w:after="160" w:line="360" w:lineRule="auto"/>
        <w:jc w:val="both"/>
      </w:pPr>
      <w:r>
        <w:rPr>
          <w:rFonts w:ascii="Times New Roman" w:cs="Times New Roman" w:eastAsia="Times New Roman" w:hAnsi="Times New Roman"/>
          <w:sz w:val="24"/>
          <w:szCs w:val="24"/>
        </w:rPr>
        <w:t xml:space="preserve">A model that reports high accuracy has not necessarily learned anything clinically useful. Before the figures in Sections 4.4 and 4.5 could be interpreted, it was necessary to establish what the classifier had in fact learned. Three reference classifiers were scored on the identical test partition, the statistical association between every attribute and the diagnosis was measured, and an ablation study was conducted. This section reports those results. They materially qualify the interpretation of the performance figures and are presented in full in the interest of scientific integrity.</w:t>
      </w:r>
    </w:p>
    <w:p>
      <w:pPr>
        <w:pStyle w:val="Heading3"/>
        <w:spacing w:after="100" w:before="200" w:line="360" w:lineRule="auto"/>
        <w:jc w:val="left"/>
      </w:pPr>
      <w:r>
        <w:rPr>
          <w:rFonts w:ascii="Times New Roman" w:cs="Times New Roman" w:eastAsia="Times New Roman" w:hAnsi="Times New Roman"/>
          <w:b/>
          <w:bCs/>
          <w:sz w:val="24"/>
          <w:szCs w:val="24"/>
        </w:rPr>
        <w:t xml:space="preserve">4.6.1 Reference baselines</w:t>
      </w:r>
    </w:p>
    <w:p>
      <w:pPr>
        <w:spacing w:after="80" w:before="160" w:line="240" w:lineRule="auto"/>
        <w:jc w:val="left"/>
      </w:pPr>
      <w:r>
        <w:rPr>
          <w:rFonts w:ascii="Times New Roman" w:cs="Times New Roman" w:eastAsia="Times New Roman" w:hAnsi="Times New Roman"/>
          <w:sz w:val="24"/>
          <w:szCs w:val="24"/>
        </w:rPr>
        <w:t xml:space="preserve">Table 4.12: Reference Baseline Classifiers on the Binary Task</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3866"/>
        <w:gridCol w:w="1406"/>
        <w:gridCol w:w="1933"/>
        <w:gridCol w:w="1581"/>
      </w:tblGrid>
      <w:tr>
        <w:trPr>
          <w:tblHeader/>
        </w:trPr>
        <w:tc>
          <w:tcPr>
            <w:tcW w:type="dxa" w:w="386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Classifier</w:t>
            </w:r>
          </w:p>
        </w:tc>
        <w:tc>
          <w:tcPr>
            <w:tcW w:type="dxa" w:w="140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Accuracy</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Balanced accuracy</w:t>
            </w:r>
          </w:p>
        </w:tc>
        <w:tc>
          <w:tcPr>
            <w:tcW w:type="dxa" w:w="1581"/>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Macro F1</w:t>
            </w:r>
          </w:p>
        </w:tc>
      </w:tr>
      <w:tr>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Majority class ('No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0.6981</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0.5000</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0.4111</w:t>
            </w:r>
          </w:p>
        </w:tc>
      </w:tr>
      <w:tr>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Single rule: Fever Duration ≥ 1 day</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r>
      <w:tr>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Optimised SVM (deployed policy)</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r>
      <w:tr>
        <w:tc>
          <w:tcPr>
            <w:tcW w:type="dxa" w:w="386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Optimised SVM (Fever Duration removed)</w:t>
            </w:r>
          </w:p>
        </w:tc>
        <w:tc>
          <w:tcPr>
            <w:tcW w:type="dxa" w:w="140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0.4241</w:t>
            </w:r>
          </w:p>
        </w:tc>
        <w:tc>
          <w:tcPr>
            <w:tcW w:type="dxa" w:w="1933"/>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0.4874</w:t>
            </w:r>
          </w:p>
        </w:tc>
        <w:tc>
          <w:tcPr>
            <w:tcW w:type="dxa" w:w="1581"/>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0.4235</w:t>
            </w:r>
          </w:p>
        </w:tc>
      </w:tr>
    </w:tbl>
    <w:p>
      <w:pPr>
        <w:spacing w:after="160" w:line="360" w:lineRule="auto"/>
        <w:jc w:val="both"/>
      </w:pPr>
      <w:r>
        <w:rPr>
          <w:rFonts w:ascii="Times New Roman" w:cs="Times New Roman" w:eastAsia="Times New Roman" w:hAnsi="Times New Roman"/>
          <w:sz w:val="24"/>
          <w:szCs w:val="24"/>
        </w:rPr>
        <w:t xml:space="preserve">A single threshold on one attribute — Fever Duration of one day or more — achieves an accuracy of 0.9875 and a macro F1 of 0.9849. The optimised Support Vector Machine, after 24-configuration grid search and cross-validated selection, achieves 0.9875 and 0.9849. The two agree to four decimal places on every metric reported. The entire contribution of the machine learning pipeline over a one-line rule is therefore </w:t>
      </w:r>
      <w:r>
        <w:rPr>
          <w:rFonts w:ascii="Times New Roman" w:cs="Times New Roman" w:eastAsia="Times New Roman" w:hAnsi="Times New Roman"/>
          <w:b/>
          <w:bCs/>
          <w:sz w:val="24"/>
          <w:szCs w:val="24"/>
        </w:rPr>
        <w:t xml:space="preserve">nil</w:t>
      </w:r>
      <w:r>
        <w:rPr>
          <w:rFonts w:ascii="Times New Roman" w:cs="Times New Roman" w:eastAsia="Times New Roman" w:hAnsi="Times New Roman"/>
          <w:sz w:val="24"/>
          <w:szCs w:val="24"/>
        </w:rPr>
        <w:t xml:space="preserve">.</w:t>
      </w:r>
    </w:p>
    <w:p>
      <w:pPr>
        <w:spacing w:after="160" w:line="360" w:lineRule="auto"/>
        <w:jc w:val="both"/>
      </w:pPr>
      <w:r>
        <w:rPr>
          <w:rFonts w:ascii="Times New Roman" w:cs="Times New Roman" w:eastAsia="Times New Roman" w:hAnsi="Times New Roman"/>
          <w:sz w:val="24"/>
          <w:szCs w:val="24"/>
        </w:rPr>
        <w:t xml:space="preserve">Examination of the dataset established the reason. Of the 8,981 records in which fever duration is one day or more, </w:t>
      </w:r>
      <w:r>
        <w:rPr>
          <w:rFonts w:ascii="Times New Roman" w:cs="Times New Roman" w:eastAsia="Times New Roman" w:hAnsi="Times New Roman"/>
          <w:b/>
          <w:bCs/>
          <w:sz w:val="24"/>
          <w:szCs w:val="24"/>
        </w:rPr>
        <w:t xml:space="preserve">all 8,981</w:t>
      </w:r>
      <w:r>
        <w:rPr>
          <w:rFonts w:ascii="Times New Roman" w:cs="Times New Roman" w:eastAsia="Times New Roman" w:hAnsi="Times New Roman"/>
          <w:sz w:val="24"/>
          <w:szCs w:val="24"/>
        </w:rPr>
        <w:t xml:space="preserve"> are labelled typhoid. No record in the dataset combines a fever duration of one day or more with a negative diagnosis. Fever Duration is therefore a deterministic proxy for the target, and the classifier has learned that rule.</w:t>
      </w:r>
    </w:p>
    <w:p>
      <w:pPr>
        <w:pStyle w:val="Heading3"/>
        <w:spacing w:after="100" w:before="200" w:line="360" w:lineRule="auto"/>
        <w:jc w:val="left"/>
      </w:pPr>
      <w:r>
        <w:rPr>
          <w:rFonts w:ascii="Times New Roman" w:cs="Times New Roman" w:eastAsia="Times New Roman" w:hAnsi="Times New Roman"/>
          <w:b/>
          <w:bCs/>
          <w:sz w:val="24"/>
          <w:szCs w:val="24"/>
        </w:rPr>
        <w:t xml:space="preserve">4.6.2 Association between attributes and the diagnosis</w:t>
      </w:r>
    </w:p>
    <w:p>
      <w:pPr>
        <w:spacing w:after="80" w:before="160" w:line="240" w:lineRule="auto"/>
        <w:jc w:val="left"/>
      </w:pPr>
      <w:r>
        <w:rPr>
          <w:rFonts w:ascii="Times New Roman" w:cs="Times New Roman" w:eastAsia="Times New Roman" w:hAnsi="Times New Roman"/>
          <w:sz w:val="24"/>
          <w:szCs w:val="24"/>
        </w:rPr>
        <w:t xml:space="preserve">Table 4.13: Association Between Each Attribute and the Diagnosis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218"/>
        <w:gridCol w:w="2636"/>
        <w:gridCol w:w="1933"/>
      </w:tblGrid>
      <w:tr>
        <w:trPr>
          <w:tblHeader/>
        </w:trPr>
        <w:tc>
          <w:tcPr>
            <w:tcW w:type="dxa" w:w="4218"/>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Attribute</w:t>
            </w:r>
          </w:p>
        </w:tc>
        <w:tc>
          <w:tcPr>
            <w:tcW w:type="dxa" w:w="263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Statistic</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Value</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Blood Culture Result (excluded)</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0.9999</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Fever Duration (Days)</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Point-biserial r</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0.8138</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Complications (excluded)</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0.2685</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White Blood Cell Count</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Point-biserial r</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0.1948</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Water Source Type</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0.0132</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Location</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0.0120</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Neurological Symptoms (recoded)</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0.0091</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Headache (derived)</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0.0081</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Ongoing Infection in Society</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0.0073</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Sanitation Facilities</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0.0069</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Socioeconomic Status</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0.0066</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Typhidot Test</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0.0065</w:t>
            </w:r>
          </w:p>
        </w:tc>
      </w:tr>
      <w:tr>
        <w:tc>
          <w:tcPr>
            <w:tcW w:type="dxa" w:w="4218"/>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Widal Test</w:t>
            </w:r>
          </w:p>
        </w:tc>
        <w:tc>
          <w:tcPr>
            <w:tcW w:type="dxa" w:w="263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0.0014</w:t>
            </w:r>
          </w:p>
        </w:tc>
      </w:tr>
    </w:tbl>
    <w:p>
      <w:pPr>
        <w:spacing w:after="160" w:line="360" w:lineRule="auto"/>
        <w:jc w:val="both"/>
      </w:pPr>
      <w:r>
        <w:rPr>
          <w:rFonts w:ascii="Times New Roman" w:cs="Times New Roman" w:eastAsia="Times New Roman" w:hAnsi="Times New Roman"/>
          <w:sz w:val="24"/>
          <w:szCs w:val="24"/>
        </w:rPr>
        <w:t xml:space="preserve">Outside the two excluded attributes, Fever Duration and White Blood Cell Count, no attribute reaches a Cramér's V of 0.02. The Widal Test (V = 0.0014) and Typhidot Test (V = 0.0065) are statistically independent of the diagnosis. This is not a plausible property of real patient data: these are the serological assays on which typhoid diagnosis conventionally rests, and in any genuine clinical dataset they would carry substantial association with the outcome.</w:t>
      </w:r>
    </w:p>
    <w:p>
      <w:pPr>
        <w:pStyle w:val="Heading3"/>
        <w:spacing w:after="100" w:before="200" w:line="360" w:lineRule="auto"/>
        <w:jc w:val="left"/>
      </w:pPr>
      <w:r>
        <w:rPr>
          <w:rFonts w:ascii="Times New Roman" w:cs="Times New Roman" w:eastAsia="Times New Roman" w:hAnsi="Times New Roman"/>
          <w:b/>
          <w:bCs/>
          <w:sz w:val="24"/>
          <w:szCs w:val="24"/>
        </w:rPr>
        <w:t xml:space="preserve">4.6.3 Ablation study</w:t>
      </w:r>
    </w:p>
    <w:p>
      <w:pPr>
        <w:spacing w:after="80" w:before="160" w:line="240" w:lineRule="auto"/>
        <w:jc w:val="left"/>
      </w:pPr>
      <w:r>
        <w:rPr>
          <w:rFonts w:ascii="Times New Roman" w:cs="Times New Roman" w:eastAsia="Times New Roman" w:hAnsi="Times New Roman"/>
          <w:sz w:val="24"/>
          <w:szCs w:val="24"/>
        </w:rPr>
        <w:t xml:space="preserve">Table 4.14: Feature Policy Sensitivity and Ablation</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2987"/>
        <w:gridCol w:w="1142"/>
        <w:gridCol w:w="1669"/>
        <w:gridCol w:w="1054"/>
        <w:gridCol w:w="966"/>
        <w:gridCol w:w="966"/>
      </w:tblGrid>
      <w:tr>
        <w:trPr>
          <w:tblHeader/>
        </w:trPr>
        <w:tc>
          <w:tcPr>
            <w:tcW w:type="dxa" w:w="298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Feature policy</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Accuracy</w:t>
            </w:r>
          </w:p>
        </w:tc>
        <w:tc>
          <w:tcPr>
            <w:tcW w:type="dxa" w:w="166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Balanced accuracy</w:t>
            </w:r>
          </w:p>
        </w:tc>
        <w:tc>
          <w:tcPr>
            <w:tcW w:type="dxa" w:w="1054"/>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Macro F1</w:t>
            </w:r>
          </w:p>
        </w:tc>
        <w:tc>
          <w:tcPr>
            <w:tcW w:type="dxa" w:w="96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Sensitivity</w:t>
            </w:r>
          </w:p>
        </w:tc>
        <w:tc>
          <w:tcPr>
            <w:tcW w:type="dxa" w:w="96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ROC AUC</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Deployed — 13 post-review attributes</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0.9804</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Pre-review — all 20 permitted attributes</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0.9881</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0.9803</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0.9857</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0.9606</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0.9797</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Pre-laboratory — Widal and Typhidot removed</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0.9802</w:t>
            </w:r>
          </w:p>
        </w:tc>
      </w:tr>
      <w:tr>
        <w:tc>
          <w:tcPr>
            <w:tcW w:type="dxa" w:w="298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Ablation — Fever Duration removed</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0.4241</w:t>
            </w:r>
          </w:p>
        </w:tc>
        <w:tc>
          <w:tcPr>
            <w:tcW w:type="dxa" w:w="166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0.4874</w:t>
            </w:r>
          </w:p>
        </w:tc>
        <w:tc>
          <w:tcPr>
            <w:tcW w:type="dxa" w:w="1054"/>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0.4235</w:t>
            </w:r>
          </w:p>
        </w:tc>
        <w:tc>
          <w:tcPr>
            <w:tcW w:type="dxa" w:w="96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0.6473</w:t>
            </w:r>
          </w:p>
        </w:tc>
        <w:tc>
          <w:tcPr>
            <w:tcW w:type="dxa" w:w="96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0.4852</w:t>
            </w:r>
          </w:p>
        </w:tc>
      </w:tr>
    </w:tbl>
    <w:p>
      <w:pPr>
        <w:spacing w:after="160" w:line="360" w:lineRule="auto"/>
        <w:jc w:val="both"/>
      </w:pPr>
      <w:r>
        <w:rPr>
          <w:rFonts w:ascii="Times New Roman" w:cs="Times New Roman" w:eastAsia="Times New Roman" w:hAnsi="Times New Roman"/>
          <w:sz w:val="24"/>
          <w:szCs w:val="24"/>
        </w:rPr>
        <w:t xml:space="preserve">Reducing the feature space from twenty attributes to the thirteen obtainable at the point of care costs </w:t>
      </w:r>
      <w:r>
        <w:rPr>
          <w:rFonts w:ascii="Times New Roman" w:cs="Times New Roman" w:eastAsia="Times New Roman" w:hAnsi="Times New Roman"/>
          <w:b/>
          <w:bCs/>
          <w:sz w:val="24"/>
          <w:szCs w:val="24"/>
        </w:rPr>
        <w:t xml:space="preserve">0.06 accuracy points</w:t>
      </w:r>
      <w:r>
        <w:rPr>
          <w:rFonts w:ascii="Times New Roman" w:cs="Times New Roman" w:eastAsia="Times New Roman" w:hAnsi="Times New Roman"/>
          <w:sz w:val="24"/>
          <w:szCs w:val="24"/>
        </w:rPr>
        <w:t xml:space="preserve">, and removing both serological tests on their own costs the same. The model does not depend on the laboratory at all. Removing Fever Duration alone, by contrast, collapses performance to a balanced accuracy of 0.4874 and a ROC AUC of 0.4852, both below the chance floor of 0.5000. The remaining twelve attributes, taken together, therefore carry no usable discriminative information about the diagnosis.</w:t>
      </w:r>
    </w:p>
    <w:p>
      <w:pPr>
        <w:spacing w:after="160" w:line="360" w:lineRule="auto"/>
        <w:jc w:val="both"/>
      </w:pPr>
      <w:r>
        <w:rPr>
          <w:rFonts w:ascii="Times New Roman" w:cs="Times New Roman" w:eastAsia="Times New Roman" w:hAnsi="Times New Roman"/>
          <w:sz w:val="24"/>
          <w:szCs w:val="24"/>
        </w:rPr>
        <w:t xml:space="preserve">A parallel deterministic rule governs the four-category task: every record labelled </w:t>
      </w:r>
      <w:r>
        <w:rPr>
          <w:rFonts w:ascii="Times New Roman" w:cs="Times New Roman" w:eastAsia="Times New Roman" w:hAnsi="Times New Roman"/>
          <w:i/>
          <w:iCs/>
          <w:sz w:val="24"/>
          <w:szCs w:val="24"/>
        </w:rPr>
        <w:t xml:space="preserve">Complicated Typhoid</w:t>
      </w:r>
      <w:r>
        <w:rPr>
          <w:rFonts w:ascii="Times New Roman" w:cs="Times New Roman" w:eastAsia="Times New Roman" w:hAnsi="Times New Roman"/>
          <w:sz w:val="24"/>
          <w:szCs w:val="24"/>
        </w:rPr>
        <w:t xml:space="preserve"> has a white blood cell count above 11,000 cells/µL, and no record of any other category does. The two ranges do not overlap by a single count. This rule is also the explanation for the severity model's macro F1 reported in Table 4.8: the white blood cell count was dropped at supervisory review because it requires a haematology laboratory, and it is the only attribute in which severity is encoded, so the deployed severity model cannot recover the class. Conversely, no attribute distinguishes </w:t>
      </w:r>
      <w:r>
        <w:rPr>
          <w:rFonts w:ascii="Times New Roman" w:cs="Times New Roman" w:eastAsia="Times New Roman" w:hAnsi="Times New Roman"/>
          <w:i/>
          <w:iCs/>
          <w:sz w:val="24"/>
          <w:szCs w:val="24"/>
        </w:rPr>
        <w:t xml:space="preserve">Acute</w:t>
      </w:r>
      <w:r>
        <w:rPr>
          <w:rFonts w:ascii="Times New Roman" w:cs="Times New Roman" w:eastAsia="Times New Roman" w:hAnsi="Times New Roman"/>
          <w:sz w:val="24"/>
          <w:szCs w:val="24"/>
        </w:rPr>
        <w:t xml:space="preserve"> from </w:t>
      </w:r>
      <w:r>
        <w:rPr>
          <w:rFonts w:ascii="Times New Roman" w:cs="Times New Roman" w:eastAsia="Times New Roman" w:hAnsi="Times New Roman"/>
          <w:i/>
          <w:iCs/>
          <w:sz w:val="24"/>
          <w:szCs w:val="24"/>
        </w:rPr>
        <w:t xml:space="preserve">Relapsing Typhoid</w:t>
      </w:r>
      <w:r>
        <w:rPr>
          <w:rFonts w:ascii="Times New Roman" w:cs="Times New Roman" w:eastAsia="Times New Roman" w:hAnsi="Times New Roman"/>
          <w:sz w:val="24"/>
          <w:szCs w:val="24"/>
        </w:rPr>
        <w:t xml:space="preserve">, the maximum Cramér's V for that contrast being 0.033, which explains the poor performance on those two categories under either feature space. The two findings are the same finding seen from two directions: what the reduction removes is not clinical signal but the dataset's construction.</w:t>
      </w:r>
    </w:p>
    <w:p>
      <w:pPr>
        <w:spacing w:after="160" w:line="360" w:lineRule="auto"/>
        <w:jc w:val="both"/>
      </w:pPr>
      <w:r>
        <w:rPr>
          <w:rFonts w:ascii="Times New Roman" w:cs="Times New Roman" w:eastAsia="Times New Roman" w:hAnsi="Times New Roman"/>
          <w:sz w:val="24"/>
          <w:szCs w:val="24"/>
        </w:rPr>
        <w:t xml:space="preserve">Three further observations complete the picture. First, every one of the 1,799 typhoid patients in the test partition with a fever duration of one day or more receives a predicted probability of at least 0.99999; not one falls below 0.999. The model expresses no uncertainty whatever about any case the rule covers. Second, the 78 typhoid patients recorded with a fever duration of zero — the only patients whose diagnosis cannot be read off that single variable — receive a mean predicted probability of 0.0241, with a maximum of 0.0242, and not one is detected at any cut-off that preserves a usable specificity. Third, positive predictive value remains at 1.0000 when projected onto a deployment prevalence of two per cent, which is arithmetically impossible for a genuine diagnostic test and is the signature of a deterministic rule rather than a probabilistic classifier.</w:t>
      </w:r>
    </w:p>
    <w:p>
      <w:pPr>
        <w:pStyle w:val="Heading3"/>
        <w:spacing w:after="100" w:before="200" w:line="360" w:lineRule="auto"/>
        <w:jc w:val="left"/>
      </w:pPr>
      <w:r>
        <w:rPr>
          <w:rFonts w:ascii="Times New Roman" w:cs="Times New Roman" w:eastAsia="Times New Roman" w:hAnsi="Times New Roman"/>
          <w:b/>
          <w:bCs/>
          <w:sz w:val="24"/>
          <w:szCs w:val="24"/>
        </w:rPr>
        <w:t xml:space="preserve">4.6.4 Corroboration on two further public datasets</w:t>
      </w:r>
    </w:p>
    <w:p>
      <w:pPr>
        <w:spacing w:after="160" w:line="360" w:lineRule="auto"/>
        <w:jc w:val="both"/>
      </w:pPr>
      <w:r>
        <w:rPr>
          <w:rFonts w:ascii="Times New Roman" w:cs="Times New Roman" w:eastAsia="Times New Roman" w:hAnsi="Times New Roman"/>
          <w:sz w:val="24"/>
          <w:szCs w:val="24"/>
        </w:rPr>
        <w:t xml:space="preserve">Before concluding that the modelling dataset was unsuitable, two further publicly available typhoid datasets were obtained and subjected to the identical audit, to establish whether the problem was specific to this collection or characteristic of the available public data. Table 4.15 reports the comparison.</w:t>
      </w:r>
    </w:p>
    <w:p>
      <w:pPr>
        <w:spacing w:after="80" w:before="160" w:line="240" w:lineRule="auto"/>
        <w:jc w:val="left"/>
      </w:pPr>
      <w:r>
        <w:rPr>
          <w:rFonts w:ascii="Times New Roman" w:cs="Times New Roman" w:eastAsia="Times New Roman" w:hAnsi="Times New Roman"/>
          <w:sz w:val="24"/>
          <w:szCs w:val="24"/>
        </w:rPr>
        <w:t xml:space="preserve">Table 4.15: Comparative Audit of Three Public Typhoid Datasets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636"/>
        <w:gridCol w:w="1142"/>
        <w:gridCol w:w="1230"/>
        <w:gridCol w:w="2021"/>
        <w:gridCol w:w="1757"/>
      </w:tblGrid>
      <w:tr>
        <w:trPr>
          <w:tblHeader/>
        </w:trPr>
        <w:tc>
          <w:tcPr>
            <w:tcW w:type="dxa" w:w="263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Dataset</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Records</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Duplicates</w:t>
            </w:r>
          </w:p>
        </w:tc>
        <w:tc>
          <w:tcPr>
            <w:tcW w:type="dxa" w:w="2021"/>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Depth-3 tree balanced accuracy</w:t>
            </w:r>
          </w:p>
        </w:tc>
        <w:tc>
          <w:tcPr>
            <w:tcW w:type="dxa" w:w="175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Nature</w:t>
            </w:r>
          </w:p>
        </w:tc>
      </w:tr>
      <w:tr>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Kaggle typhoid dataset (this study)</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31,087</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c>
          <w:tcPr>
            <w:tcW w:type="dxa" w:w="202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0.9806</w:t>
            </w:r>
          </w:p>
        </w:tc>
        <w:tc>
          <w:tcPr>
            <w:tcW w:type="dxa" w:w="175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Synthetic</w:t>
            </w:r>
          </w:p>
        </w:tc>
      </w:tr>
      <w:tr>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Nishat et al., Harvard Dataverse</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659</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86</w:t>
            </w:r>
          </w:p>
        </w:tc>
        <w:tc>
          <w:tcPr>
            <w:tcW w:type="dxa" w:w="202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75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Synthetic</w:t>
            </w:r>
          </w:p>
        </w:tc>
      </w:tr>
      <w:tr>
        <w:tc>
          <w:tcPr>
            <w:tcW w:type="dxa" w:w="263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TyphoDx-BD, Mendeley Data</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1,100</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528</w:t>
            </w:r>
          </w:p>
        </w:tc>
        <w:tc>
          <w:tcPr>
            <w:tcW w:type="dxa" w:w="2021"/>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75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Real, physician-validated</w:t>
            </w:r>
          </w:p>
        </w:tc>
      </w:tr>
    </w:tbl>
    <w:p>
      <w:pPr>
        <w:spacing w:after="160" w:line="360" w:lineRule="auto"/>
        <w:jc w:val="both"/>
      </w:pPr>
      <w:r>
        <w:rPr>
          <w:rFonts w:ascii="Times New Roman" w:cs="Times New Roman" w:eastAsia="Times New Roman" w:hAnsi="Times New Roman"/>
          <w:sz w:val="24"/>
          <w:szCs w:val="24"/>
        </w:rPr>
        <w:t xml:space="preserve">Each dataset fails the audit, and each fails differently. The </w:t>
      </w:r>
      <w:r>
        <w:rPr>
          <w:rFonts w:ascii="Times New Roman" w:cs="Times New Roman" w:eastAsia="Times New Roman" w:hAnsi="Times New Roman"/>
          <w:b/>
          <w:bCs/>
          <w:sz w:val="24"/>
          <w:szCs w:val="24"/>
        </w:rPr>
        <w:t xml:space="preserve">Nishat et al.</w:t>
      </w:r>
      <w:r>
        <w:rPr>
          <w:rFonts w:ascii="Times New Roman" w:cs="Times New Roman" w:eastAsia="Times New Roman" w:hAnsi="Times New Roman"/>
          <w:sz w:val="24"/>
          <w:szCs w:val="24"/>
        </w:rPr>
        <w:t xml:space="preserve"> dataset (Nishat et al., 2025) is separable to perfect balanced accuracy by a decision tree of depth three. Its 86 duplicated rows belong without exception to the negative class, leaving only 102 distinct negative patients, a pattern consistent with a small sample padded by copying. The originating publication reports an AUC of 1.00 on these data; a depth-three tree achieves the same, which indicates that no complex model was meaningfully tested.</w:t>
      </w:r>
    </w:p>
    <w:p>
      <w:pPr>
        <w:spacing w:after="160" w:line="360"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TyphoDx-BD</w:t>
      </w:r>
      <w:r>
        <w:rPr>
          <w:rFonts w:ascii="Times New Roman" w:cs="Times New Roman" w:eastAsia="Times New Roman" w:hAnsi="Times New Roman"/>
          <w:sz w:val="24"/>
          <w:szCs w:val="24"/>
        </w:rPr>
        <w:t xml:space="preserve"> dataset is the only one of the three that is genuinely real, having been collected under a named institutional ethics approval with patient identifiers encrypted. Its problem is different in kind and, for the present purpose, decisive. A Widal titre of 1:160 or above on any of the TO, TH, AH or BH agglutinins maps to a positive label in every record without exception, 1,100 of 1,100. The label is not an independent clinical outcome but the interpretive reading rule applied to the four measurements that constitute the feature set. A model trained on these data would learn to reproduce a published cut-off table rather than to diagnose typhoid, and the exercise would be circular. A further 528 of the 1,100 rows are exact duplicates, which would inflate any random-split evaluation through leakage between the training and test partitions.</w:t>
      </w:r>
    </w:p>
    <w:p>
      <w:pPr>
        <w:spacing w:after="160" w:line="360" w:lineRule="auto"/>
        <w:jc w:val="both"/>
      </w:pPr>
      <w:r>
        <w:rPr>
          <w:rFonts w:ascii="Times New Roman" w:cs="Times New Roman" w:eastAsia="Times New Roman" w:hAnsi="Times New Roman"/>
          <w:sz w:val="24"/>
          <w:szCs w:val="24"/>
        </w:rPr>
        <w:t xml:space="preserve">The Kaggle collection was retained for modelling because it is the only one of adequate size, the only one carrying the Location attribute required by Objective 4, and the richest in clinical and environmental features. That choice is made here with the limitation documented rather than concealed.</w:t>
      </w:r>
    </w:p>
    <w:p>
      <w:pPr>
        <w:pStyle w:val="Heading2"/>
        <w:spacing w:after="120" w:before="240" w:line="360" w:lineRule="auto"/>
        <w:jc w:val="left"/>
      </w:pPr>
      <w:r>
        <w:rPr>
          <w:rFonts w:ascii="Times New Roman" w:cs="Times New Roman" w:eastAsia="Times New Roman" w:hAnsi="Times New Roman"/>
          <w:b/>
          <w:bCs/>
          <w:sz w:val="24"/>
          <w:szCs w:val="24"/>
        </w:rPr>
        <w:t xml:space="preserve">4.7 Model Deployment</w:t>
      </w:r>
    </w:p>
    <w:p>
      <w:pPr>
        <w:spacing w:after="160" w:line="360" w:lineRule="auto"/>
        <w:jc w:val="both"/>
      </w:pPr>
      <w:r>
        <w:rPr>
          <w:rFonts w:ascii="Times New Roman" w:cs="Times New Roman" w:eastAsia="Times New Roman" w:hAnsi="Times New Roman"/>
          <w:sz w:val="24"/>
          <w:szCs w:val="24"/>
        </w:rPr>
        <w:t xml:space="preserve">Section 3.2.6 of the methodology specified that the final optimised model would be deployed as a diagnostic decision-support tool accepting patient records and returning real-time predictions. This section documents the deployment as implemented.</w:t>
      </w:r>
    </w:p>
    <w:p>
      <w:pPr>
        <w:pStyle w:val="Heading3"/>
        <w:spacing w:after="100" w:before="200" w:line="360" w:lineRule="auto"/>
        <w:jc w:val="left"/>
      </w:pPr>
      <w:r>
        <w:rPr>
          <w:rFonts w:ascii="Times New Roman" w:cs="Times New Roman" w:eastAsia="Times New Roman" w:hAnsi="Times New Roman"/>
          <w:b/>
          <w:bCs/>
          <w:sz w:val="24"/>
          <w:szCs w:val="24"/>
        </w:rPr>
        <w:t xml:space="preserve">4.7.1 Deployment architecture</w:t>
      </w:r>
    </w:p>
    <w:p>
      <w:pPr>
        <w:spacing w:after="160" w:line="360" w:lineRule="auto"/>
        <w:jc w:val="both"/>
      </w:pPr>
      <w:r>
        <w:rPr>
          <w:rFonts w:ascii="Times New Roman" w:cs="Times New Roman" w:eastAsia="Times New Roman" w:hAnsi="Times New Roman"/>
          <w:sz w:val="24"/>
          <w:szCs w:val="24"/>
        </w:rPr>
        <w:t xml:space="preserve">The deployed system is structured as two independent Python packages joined at exactly one point. The machine learning package contains the training, evaluation and inference pipeline and has no knowledge of the web application. The web application package contains routing, authentication, persistence and the user interface, and reaches the model only through a single prediction service module. No routing module imports the machine learning package directly, and an automated test enforces this constraint on every build.</w:t>
      </w:r>
    </w:p>
    <w:p>
      <w:pPr>
        <w:spacing w:after="160" w:line="360" w:lineRule="auto"/>
        <w:jc w:val="both"/>
      </w:pPr>
      <w:r>
        <w:rPr>
          <w:rFonts w:ascii="Times New Roman" w:cs="Times New Roman" w:eastAsia="Times New Roman" w:hAnsi="Times New Roman"/>
          <w:sz w:val="24"/>
          <w:szCs w:val="24"/>
        </w:rPr>
        <w:t xml:space="preserve">This separation is deliberate and has a methodological purpose beyond software tidiness. It guarantees that the model can be retrained without altering a single line of application code, and that the application can be restructured without any risk to the trained artefact or to its preprocessing requirements. The preprocessing steps applied at inference are the identical fitted transformers persisted with the model at training time, not a reimplementation.</w:t>
      </w:r>
    </w:p>
    <w:p>
      <w:pPr>
        <w:spacing w:after="160" w:line="360" w:lineRule="auto"/>
        <w:jc w:val="both"/>
      </w:pPr>
      <w:r>
        <w:rPr>
          <w:rFonts w:ascii="Times New Roman" w:cs="Times New Roman" w:eastAsia="Times New Roman" w:hAnsi="Times New Roman"/>
          <w:sz w:val="24"/>
          <w:szCs w:val="24"/>
        </w:rPr>
        <w:t xml:space="preserve">Each assessment is stored with the input record, the model kernel, the model training timestamp, the calibrated probability, the per-prediction explanation and the inference latency, so that any historical prediction can be reproduced and audited.</w:t>
      </w:r>
    </w:p>
    <w:p>
      <w:pPr>
        <w:pStyle w:val="Heading3"/>
        <w:spacing w:after="100" w:before="200" w:line="360" w:lineRule="auto"/>
        <w:jc w:val="left"/>
      </w:pPr>
      <w:r>
        <w:rPr>
          <w:rFonts w:ascii="Times New Roman" w:cs="Times New Roman" w:eastAsia="Times New Roman" w:hAnsi="Times New Roman"/>
          <w:b/>
          <w:bCs/>
          <w:sz w:val="24"/>
          <w:szCs w:val="24"/>
        </w:rPr>
        <w:t xml:space="preserve">4.7.2 Framework and hosting environment</w:t>
      </w:r>
    </w:p>
    <w:p>
      <w:pPr>
        <w:spacing w:after="160" w:line="360" w:lineRule="auto"/>
        <w:jc w:val="both"/>
      </w:pPr>
      <w:r>
        <w:rPr>
          <w:rFonts w:ascii="Times New Roman" w:cs="Times New Roman" w:eastAsia="Times New Roman" w:hAnsi="Times New Roman"/>
          <w:sz w:val="24"/>
          <w:szCs w:val="24"/>
        </w:rPr>
        <w:t xml:space="preserve">The application was implemented in </w:t>
      </w:r>
      <w:r>
        <w:rPr>
          <w:rFonts w:ascii="Times New Roman" w:cs="Times New Roman" w:eastAsia="Times New Roman" w:hAnsi="Times New Roman"/>
          <w:b/>
          <w:bCs/>
          <w:sz w:val="24"/>
          <w:szCs w:val="24"/>
        </w:rPr>
        <w:t xml:space="preserve">Flask</w:t>
      </w:r>
      <w:r>
        <w:rPr>
          <w:rFonts w:ascii="Times New Roman" w:cs="Times New Roman" w:eastAsia="Times New Roman" w:hAnsi="Times New Roman"/>
          <w:sz w:val="24"/>
          <w:szCs w:val="24"/>
        </w:rPr>
        <w:t xml:space="preserve">, using the application-factory pattern with blueprint-based routing, SQLAlchemy for persistence and Flask-Login for session management. It is served in production by Gunicorn and hosted on </w:t>
      </w:r>
      <w:r>
        <w:rPr>
          <w:rFonts w:ascii="Times New Roman" w:cs="Times New Roman" w:eastAsia="Times New Roman" w:hAnsi="Times New Roman"/>
          <w:b/>
          <w:bCs/>
          <w:sz w:val="24"/>
          <w:szCs w:val="24"/>
        </w:rPr>
        <w:t xml:space="preserve">Render</w:t>
      </w:r>
      <w:r>
        <w:rPr>
          <w:rFonts w:ascii="Times New Roman" w:cs="Times New Roman" w:eastAsia="Times New Roman" w:hAnsi="Times New Roman"/>
          <w:sz w:val="24"/>
          <w:szCs w:val="24"/>
        </w:rPr>
        <w:t xml:space="preserve">. Table 4.16 states the deployment specification.</w:t>
      </w:r>
    </w:p>
    <w:p>
      <w:pPr>
        <w:spacing w:after="80" w:before="160" w:line="240" w:lineRule="auto"/>
        <w:jc w:val="left"/>
      </w:pPr>
      <w:r>
        <w:rPr>
          <w:rFonts w:ascii="Times New Roman" w:cs="Times New Roman" w:eastAsia="Times New Roman" w:hAnsi="Times New Roman"/>
          <w:sz w:val="24"/>
          <w:szCs w:val="24"/>
        </w:rPr>
        <w:t xml:space="preserve">Table 4.16: Deployment Environment Specification</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899"/>
        <w:gridCol w:w="5887"/>
      </w:tblGrid>
      <w:tr>
        <w:trPr>
          <w:tblHeader/>
        </w:trPr>
        <w:tc>
          <w:tcPr>
            <w:tcW w:type="dxa" w:w="289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Component</w:t>
            </w:r>
          </w:p>
        </w:tc>
        <w:tc>
          <w:tcPr>
            <w:tcW w:type="dxa" w:w="588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Specification</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Live application URL</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https://typhoid-decision-support.onrender.com</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Web framework</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Flask 3.x (application factory, blueprints)</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WSGI server</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Gunicorn, one worker with four threads</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Hosting platform</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Render web service, Frankfurt region</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Compute allocation</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0.1 CPU, 512 MB RAM</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Database</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PostgreSQL (managed, external), SQLAlchemy 2.x</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Feature policy</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symptom_based — 13 point-of-care attributes</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Model artefact</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svm_binary.joblib, 491 KB, SHA-256 prefix 92405600</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Referral threshold</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0.03 (derived in Section 4.4.4)</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Process memory footprint</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240 MB</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Health endpoint</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/health (reports database and model availability)</w:t>
            </w:r>
          </w:p>
        </w:tc>
      </w:tr>
      <w:tr>
        <w:tc>
          <w:tcPr>
            <w:tcW w:type="dxa" w:w="289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Programmatic interface</w:t>
            </w:r>
          </w:p>
        </w:tc>
        <w:tc>
          <w:tcPr>
            <w:tcW w:type="dxa" w:w="588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POST /api/predict, GET /api/schema, GET /api/models</w:t>
            </w:r>
          </w:p>
        </w:tc>
      </w:tr>
    </w:tbl>
    <w:p>
      <w:pPr>
        <w:spacing w:after="160" w:line="360" w:lineRule="auto"/>
        <w:jc w:val="both"/>
      </w:pPr>
      <w:r>
        <w:rPr>
          <w:rFonts w:ascii="Times New Roman" w:cs="Times New Roman" w:eastAsia="Times New Roman" w:hAnsi="Times New Roman"/>
          <w:sz w:val="24"/>
          <w:szCs w:val="24"/>
        </w:rPr>
        <w:t xml:space="preserve">The single-worker configuration is a deliberate consequence of the 512 MB memory allocation. Each process holds the scientific Python stack and the trained model and occupies approximately 240 MB resident; a second worker would exceed the allocation and be terminated. Concurrency is therefore obtained through threads rather than processes. This is precisely the class of constraint that a resource-limited deployment presents, and the system is sized to operate within it.</w:t>
      </w:r>
    </w:p>
    <w:p>
      <w:pPr>
        <w:pStyle w:val="Heading3"/>
        <w:spacing w:after="100" w:before="200" w:line="360" w:lineRule="auto"/>
        <w:jc w:val="left"/>
      </w:pPr>
      <w:r>
        <w:rPr>
          <w:rFonts w:ascii="Times New Roman" w:cs="Times New Roman" w:eastAsia="Times New Roman" w:hAnsi="Times New Roman"/>
          <w:b/>
          <w:bCs/>
          <w:sz w:val="24"/>
          <w:szCs w:val="24"/>
        </w:rPr>
        <w:t xml:space="preserve">4.7.3 User interface</w:t>
      </w:r>
    </w:p>
    <w:p>
      <w:pPr>
        <w:spacing w:after="160" w:line="360" w:lineRule="auto"/>
        <w:jc w:val="both"/>
      </w:pPr>
      <w:r>
        <w:rPr>
          <w:rFonts w:ascii="Times New Roman" w:cs="Times New Roman" w:eastAsia="Times New Roman" w:hAnsi="Times New Roman"/>
          <w:sz w:val="24"/>
          <w:szCs w:val="24"/>
        </w:rPr>
        <w:t xml:space="preserve">The interface presents a clinician with a structured assessment form whose fields, permitted values and numeric ranges are generated directly from the dataset schema. A value the model has never seen cannot therefore be submitted. Every field is required, because the attributes that were incomplete in the source data were dropped during preprocessing (Section 4.2.3), so no entry the clinician skips can move the result. The form asks only for findings obtainable by history and examination; it carries no laboratory group at all, which is the point of the system. Figure 4.4 shows the assessment form.</w:t>
      </w:r>
    </w:p>
    <w:p>
      <w:pPr>
        <w:spacing w:after="0" w:before="160" w:line="240" w:lineRule="auto"/>
        <w:jc w:val="center"/>
      </w:pPr>
      <w:r>
        <w:drawing>
          <wp:inline distT="0" distB="0" distL="0" distR="0">
            <wp:extent cx="409575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4267200"/>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4.4.</w:t>
      </w:r>
      <w:r>
        <w:rPr>
          <w:rFonts w:ascii="Times New Roman" w:cs="Times New Roman" w:eastAsia="Times New Roman" w:hAnsi="Times New Roman"/>
          <w:sz w:val="24"/>
          <w:szCs w:val="24"/>
        </w:rPr>
        <w:t xml:space="preserve"> Clinician assessment form, with fields generated from the dataset schema.</w:t>
      </w:r>
    </w:p>
    <w:p>
      <w:pPr>
        <w:spacing w:after="160" w:line="360" w:lineRule="auto"/>
        <w:jc w:val="both"/>
      </w:pPr>
      <w:r>
        <w:rPr>
          <w:rFonts w:ascii="Times New Roman" w:cs="Times New Roman" w:eastAsia="Times New Roman" w:hAnsi="Times New Roman"/>
          <w:sz w:val="24"/>
          <w:szCs w:val="24"/>
        </w:rPr>
        <w:t xml:space="preserve">On submission the system returns the predicted diagnosis, the calibrated probability, a triage recommendation keyed to the referral threshold established in Section 4.4.4, and an explanation identifying which recorded findings moved the result. The explanation is computed by occlusion: each attribute in turn is reset to a population reference value and the change in the log-odds of the prediction is recorded. Figure 4.5 shows a completed assessment.</w:t>
      </w:r>
    </w:p>
    <w:p>
      <w:pPr>
        <w:spacing w:after="0" w:before="160" w:line="240" w:lineRule="auto"/>
        <w:jc w:val="center"/>
      </w:pPr>
      <w:r>
        <w:drawing>
          <wp:inline distT="0" distB="0" distL="0" distR="0">
            <wp:extent cx="40957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267075"/>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4.5.</w:t>
      </w:r>
      <w:r>
        <w:rPr>
          <w:rFonts w:ascii="Times New Roman" w:cs="Times New Roman" w:eastAsia="Times New Roman" w:hAnsi="Times New Roman"/>
          <w:sz w:val="24"/>
          <w:szCs w:val="24"/>
        </w:rPr>
        <w:t xml:space="preserve"> Assessment result showing the calibrated probability, triage recommendation and contributing findings.</w:t>
      </w:r>
    </w:p>
    <w:p>
      <w:pPr>
        <w:spacing w:after="160" w:line="360" w:lineRule="auto"/>
        <w:jc w:val="both"/>
      </w:pPr>
      <w:r>
        <w:rPr>
          <w:rFonts w:ascii="Times New Roman" w:cs="Times New Roman" w:eastAsia="Times New Roman" w:hAnsi="Times New Roman"/>
          <w:sz w:val="24"/>
          <w:szCs w:val="24"/>
        </w:rPr>
        <w:t xml:space="preserve">Presenting the contributing findings alongside the probability is a deliberate design decision. An unexplained probability offers a clinician no basis on which to exercise judgement, and in the present case the explanation makes the model's dependence on fever duration visible at the point of use rather than concealing it.</w:t>
      </w:r>
    </w:p>
    <w:p>
      <w:pPr>
        <w:spacing w:after="160" w:line="360" w:lineRule="auto"/>
        <w:jc w:val="both"/>
      </w:pPr>
      <w:r>
        <w:rPr>
          <w:rFonts w:ascii="Times New Roman" w:cs="Times New Roman" w:eastAsia="Times New Roman" w:hAnsi="Times New Roman"/>
          <w:sz w:val="24"/>
          <w:szCs w:val="24"/>
        </w:rPr>
        <w:t xml:space="preserve">The interface is fully responsive, having been verified at viewport widths of 1,440, 834 and 390 pixels. Figure 4.6 shows the assessment form as rendered on a mobile device, which is the form factor most likely to be available in the resource-limited settings the aim identifies.</w:t>
      </w:r>
    </w:p>
    <w:p>
      <w:pPr>
        <w:spacing w:after="0" w:before="160" w:line="240" w:lineRule="auto"/>
        <w:jc w:val="center"/>
      </w:pPr>
      <w:r>
        <w:drawing>
          <wp:inline distT="0" distB="0" distL="0" distR="0">
            <wp:extent cx="16192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19250" cy="3819525"/>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4.6.</w:t>
      </w:r>
      <w:r>
        <w:rPr>
          <w:rFonts w:ascii="Times New Roman" w:cs="Times New Roman" w:eastAsia="Times New Roman" w:hAnsi="Times New Roman"/>
          <w:sz w:val="24"/>
          <w:szCs w:val="24"/>
        </w:rPr>
        <w:t xml:space="preserve"> Assessment form rendered at a mobile viewport width of 390 pixels.</w:t>
      </w:r>
    </w:p>
    <w:p>
      <w:pPr>
        <w:pStyle w:val="Heading3"/>
        <w:spacing w:after="100" w:before="200" w:line="360" w:lineRule="auto"/>
        <w:jc w:val="left"/>
      </w:pPr>
      <w:r>
        <w:rPr>
          <w:rFonts w:ascii="Times New Roman" w:cs="Times New Roman" w:eastAsia="Times New Roman" w:hAnsi="Times New Roman"/>
          <w:b/>
          <w:bCs/>
          <w:sz w:val="24"/>
          <w:szCs w:val="24"/>
        </w:rPr>
        <w:t xml:space="preserve">4.7.4 Access control and system administration</w:t>
      </w:r>
    </w:p>
    <w:p>
      <w:pPr>
        <w:spacing w:after="160" w:line="360" w:lineRule="auto"/>
        <w:jc w:val="both"/>
      </w:pPr>
      <w:r>
        <w:rPr>
          <w:rFonts w:ascii="Times New Roman" w:cs="Times New Roman" w:eastAsia="Times New Roman" w:hAnsi="Times New Roman"/>
          <w:sz w:val="24"/>
          <w:szCs w:val="24"/>
        </w:rPr>
        <w:t xml:space="preserve">The system enforces three roles. A </w:t>
      </w:r>
      <w:r>
        <w:rPr>
          <w:rFonts w:ascii="Times New Roman" w:cs="Times New Roman" w:eastAsia="Times New Roman" w:hAnsi="Times New Roman"/>
          <w:b/>
          <w:bCs/>
          <w:sz w:val="24"/>
          <w:szCs w:val="24"/>
        </w:rPr>
        <w:t xml:space="preserve">Clinician</w:t>
      </w:r>
      <w:r>
        <w:rPr>
          <w:rFonts w:ascii="Times New Roman" w:cs="Times New Roman" w:eastAsia="Times New Roman" w:hAnsi="Times New Roman"/>
          <w:sz w:val="24"/>
          <w:szCs w:val="24"/>
        </w:rPr>
        <w:t xml:space="preserve"> may register patients and run assessments, and sees only records they created. An </w:t>
      </w:r>
      <w:r>
        <w:rPr>
          <w:rFonts w:ascii="Times New Roman" w:cs="Times New Roman" w:eastAsia="Times New Roman" w:hAnsi="Times New Roman"/>
          <w:b/>
          <w:bCs/>
          <w:sz w:val="24"/>
          <w:szCs w:val="24"/>
        </w:rPr>
        <w:t xml:space="preserve">Administrator</w:t>
      </w:r>
      <w:r>
        <w:rPr>
          <w:rFonts w:ascii="Times New Roman" w:cs="Times New Roman" w:eastAsia="Times New Roman" w:hAnsi="Times New Roman"/>
          <w:sz w:val="24"/>
          <w:szCs w:val="24"/>
        </w:rPr>
        <w:t xml:space="preserve"> may manage user accounts and review the activity log. An </w:t>
      </w:r>
      <w:r>
        <w:rPr>
          <w:rFonts w:ascii="Times New Roman" w:cs="Times New Roman" w:eastAsia="Times New Roman" w:hAnsi="Times New Roman"/>
          <w:b/>
          <w:bCs/>
          <w:sz w:val="24"/>
          <w:szCs w:val="24"/>
        </w:rPr>
        <w:t xml:space="preserve">Auditor</w:t>
      </w:r>
      <w:r>
        <w:rPr>
          <w:rFonts w:ascii="Times New Roman" w:cs="Times New Roman" w:eastAsia="Times New Roman" w:hAnsi="Times New Roman"/>
          <w:sz w:val="24"/>
          <w:szCs w:val="24"/>
        </w:rPr>
        <w:t xml:space="preserve"> has read-only access to the activity log and to assessments but may not run one. Passwords are stored as PBKDF2-SHA256 hashes with 600,000 iterations, accounts lock after five failed sign-in attempts, and every security-relevant action is written to an append-only audit log. Cross-site request forgery protection, a content security policy, HTTP Strict Transport Security and rate limiting on sensitive routes are enabled in production. Figure 4.7 shows the system status page.</w:t>
      </w:r>
    </w:p>
    <w:p>
      <w:pPr>
        <w:spacing w:after="0" w:before="160" w:line="240" w:lineRule="auto"/>
        <w:jc w:val="center"/>
      </w:pPr>
      <w:r>
        <w:drawing>
          <wp:inline distT="0" distB="0" distL="0" distR="0">
            <wp:extent cx="4095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238500"/>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4.7.</w:t>
      </w:r>
      <w:r>
        <w:rPr>
          <w:rFonts w:ascii="Times New Roman" w:cs="Times New Roman" w:eastAsia="Times New Roman" w:hAnsi="Times New Roman"/>
          <w:sz w:val="24"/>
          <w:szCs w:val="24"/>
        </w:rPr>
        <w:t xml:space="preserve"> Administrative system status page reporting model provenance and database health.</w:t>
      </w:r>
    </w:p>
    <w:p>
      <w:pPr>
        <w:pStyle w:val="Heading3"/>
        <w:spacing w:after="100" w:before="200" w:line="360" w:lineRule="auto"/>
        <w:jc w:val="left"/>
      </w:pPr>
      <w:r>
        <w:rPr>
          <w:rFonts w:ascii="Times New Roman" w:cs="Times New Roman" w:eastAsia="Times New Roman" w:hAnsi="Times New Roman"/>
          <w:b/>
          <w:bCs/>
          <w:sz w:val="24"/>
          <w:szCs w:val="24"/>
        </w:rPr>
        <w:t xml:space="preserve">4.7.5 System testing and user acceptance</w:t>
      </w:r>
    </w:p>
    <w:p>
      <w:pPr>
        <w:spacing w:after="160" w:line="360" w:lineRule="auto"/>
        <w:jc w:val="both"/>
      </w:pPr>
      <w:r>
        <w:rPr>
          <w:rFonts w:ascii="Times New Roman" w:cs="Times New Roman" w:eastAsia="Times New Roman" w:hAnsi="Times New Roman"/>
          <w:sz w:val="24"/>
          <w:szCs w:val="24"/>
        </w:rPr>
        <w:t xml:space="preserve">The implementation is covered by </w:t>
      </w:r>
      <w:r>
        <w:rPr>
          <w:rFonts w:ascii="Times New Roman" w:cs="Times New Roman" w:eastAsia="Times New Roman" w:hAnsi="Times New Roman"/>
          <w:b/>
          <w:bCs/>
          <w:sz w:val="24"/>
          <w:szCs w:val="24"/>
        </w:rPr>
        <w:t xml:space="preserve">204</w:t>
      </w:r>
      <w:r>
        <w:rPr>
          <w:rFonts w:ascii="Times New Roman" w:cs="Times New Roman" w:eastAsia="Times New Roman" w:hAnsi="Times New Roman"/>
          <w:sz w:val="24"/>
          <w:szCs w:val="24"/>
        </w:rPr>
        <w:t xml:space="preserve"> automated tests spanning the data layer, the preprocessing pipeline, the threshold analysis, the prediction service and the web application. All pass. Table 4.17 maps them to the verification areas. Thirty-six of them are integration tests asserting that the dataset, the trained artefact, the assessment form and the prediction service still describe the same thirteen attributes, so the feature reduction of Section 4.2.3 cannot silently drift apart across the four layers that consume it.</w:t>
      </w:r>
    </w:p>
    <w:p>
      <w:pPr>
        <w:spacing w:after="80" w:before="160" w:line="240" w:lineRule="auto"/>
        <w:jc w:val="left"/>
      </w:pPr>
      <w:r>
        <w:rPr>
          <w:rFonts w:ascii="Times New Roman" w:cs="Times New Roman" w:eastAsia="Times New Roman" w:hAnsi="Times New Roman"/>
          <w:sz w:val="24"/>
          <w:szCs w:val="24"/>
        </w:rPr>
        <w:t xml:space="preserve">Table 4.17: Automated Test Results by Verification Area</w:t>
      </w:r>
    </w:p>
    <w:tbl>
      <w:tblPr>
        <w:tblW w:type="dxa" w:w="8785"/>
        <w:tblBorders>
          <w:top w:val="single" w:color="auto" w:sz="4"/>
          <w:left w:val="single" w:color="auto" w:sz="4"/>
          <w:bottom w:val="single" w:color="auto" w:sz="4"/>
          <w:right w:val="single" w:color="auto" w:sz="4"/>
          <w:insideH w:val="single" w:color="auto" w:sz="4"/>
          <w:insideV w:val="single" w:color="auto" w:sz="4"/>
        </w:tblBorders>
      </w:tblPr>
      <w:tblGrid>
        <w:gridCol w:w="4218"/>
        <w:gridCol w:w="1493"/>
        <w:gridCol w:w="1581"/>
        <w:gridCol w:w="1493"/>
      </w:tblGrid>
      <w:tr>
        <w:trPr>
          <w:tblHeader/>
        </w:trPr>
        <w:tc>
          <w:tcPr>
            <w:tcW w:type="dxa" w:w="4218"/>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Verification area</w:t>
            </w:r>
          </w:p>
        </w:tc>
        <w:tc>
          <w:tcPr>
            <w:tcW w:type="dxa" w:w="1493"/>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Cases</w:t>
            </w:r>
          </w:p>
        </w:tc>
        <w:tc>
          <w:tcPr>
            <w:tcW w:type="dxa" w:w="1581"/>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Passed</w:t>
            </w:r>
          </w:p>
        </w:tc>
        <w:tc>
          <w:tcPr>
            <w:tcW w:type="dxa" w:w="1493"/>
            <w:tcBorders>
              <w:top w:val="single" w:color="000000" w:sz="6"/>
              <w:left w:val="none" w:color="FFFFFF" w:sz="0"/>
              <w:bottom w:val="single" w:color="000000" w:sz="6"/>
              <w:right w:val="none" w:color="FFFFFF" w:sz="0"/>
            </w:tcBorders>
            <w:shd w:fill="FFFFFF" w:val="clear"/>
          </w:tcPr>
          <w:p>
            <w:pPr>
              <w:spacing w:after="40" w:before="40" w:line="240" w:lineRule="auto"/>
              <w:jc w:val="center"/>
            </w:pPr>
            <w:r>
              <w:rPr>
                <w:rFonts w:ascii="Times New Roman" w:cs="Times New Roman" w:eastAsia="Times New Roman" w:hAnsi="Times New Roman"/>
                <w:b/>
                <w:bCs/>
                <w:sz w:val="20"/>
                <w:szCs w:val="20"/>
              </w:rPr>
              <w:t xml:space="preserve">Result</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User authentication</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Authorisation and access control</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Administrative functionality</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Clinician functionality</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Database operations</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3</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3</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Patient data management</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Model loading and prediction</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13</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13</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Preprocessing and feature handling</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Prediction results and triage</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System logging and audit trail</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Error handling and validation</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Production readiness</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13</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13</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Dataset integrity</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15</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15</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Decision-threshold analysis</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Feature-space integration</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36</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36</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User acceptance pack</w:t>
            </w:r>
          </w:p>
        </w:tc>
        <w:tc>
          <w:tcPr>
            <w:tcW w:type="dxa" w:w="1493"/>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w:t>
            </w:r>
          </w:p>
        </w:tc>
        <w:tc>
          <w:tcPr>
            <w:tcW w:type="dxa" w:w="1581"/>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w:t>
            </w:r>
          </w:p>
        </w:tc>
        <w:tc>
          <w:tcPr>
            <w:tcW w:type="dxa" w:w="1493"/>
            <w:tcBorders>
              <w:top w:val="none" w:color="FFFFFF" w:sz="0"/>
              <w:left w:val="none" w:color="FFFFFF" w:sz="0"/>
              <w:bottom w:val="single" w:color="000000" w:sz="6"/>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bl>
    <w:p>
      <w:pPr>
        <w:spacing w:after="160" w:line="360" w:lineRule="auto"/>
        <w:jc w:val="both"/>
      </w:pPr>
      <w:r>
        <w:rPr>
          <w:rFonts w:ascii="Times New Roman" w:cs="Times New Roman" w:eastAsia="Times New Roman" w:hAnsi="Times New Roman"/>
          <w:sz w:val="24"/>
          <w:szCs w:val="24"/>
        </w:rPr>
        <w:t xml:space="preserve">A user acceptance test was additionally conducted on the deployed application using ten patient records drawn from the held-out test partition, comprising five typhoid and five disease-free cases. Two of the five typhoid cases were deliberately selected from the zero-fever-duration group identified in Section 4.6.3, since those are the only cases in the dataset whose diagnosis cannot be read off a single attribute. The expected output for each case was computed in advance by running the record through the same prediction service the web form invokes. The system reproduced the expected output in all ten cases, and its prediction agreed with the patient's recorded diagnosis in eight. The two disagreements are the deliberately selected difficult cases, and were declared in advance of the test rather than discovered during it. The complete pack is given in Appendix C.</w:t>
      </w:r>
    </w:p>
    <w:p>
      <w:pPr>
        <w:pStyle w:val="Heading2"/>
        <w:spacing w:after="120" w:before="240" w:line="360" w:lineRule="auto"/>
        <w:jc w:val="left"/>
      </w:pPr>
      <w:r>
        <w:rPr>
          <w:rFonts w:ascii="Times New Roman" w:cs="Times New Roman" w:eastAsia="Times New Roman" w:hAnsi="Times New Roman"/>
          <w:b/>
          <w:bCs/>
          <w:sz w:val="24"/>
          <w:szCs w:val="24"/>
        </w:rPr>
        <w:t xml:space="preserve">4.8 Discussion</w:t>
      </w:r>
    </w:p>
    <w:p>
      <w:pPr>
        <w:pStyle w:val="Heading3"/>
        <w:spacing w:after="100" w:before="200" w:line="360" w:lineRule="auto"/>
        <w:jc w:val="left"/>
      </w:pPr>
      <w:r>
        <w:rPr>
          <w:rFonts w:ascii="Times New Roman" w:cs="Times New Roman" w:eastAsia="Times New Roman" w:hAnsi="Times New Roman"/>
          <w:b/>
          <w:bCs/>
          <w:sz w:val="24"/>
          <w:szCs w:val="24"/>
        </w:rPr>
        <w:t xml:space="preserve">4.8.1 Comparison with the existing literature</w:t>
      </w:r>
    </w:p>
    <w:p>
      <w:pPr>
        <w:spacing w:after="160" w:line="360" w:lineRule="auto"/>
        <w:jc w:val="both"/>
      </w:pPr>
      <w:r>
        <w:rPr>
          <w:rFonts w:ascii="Times New Roman" w:cs="Times New Roman" w:eastAsia="Times New Roman" w:hAnsi="Times New Roman"/>
          <w:sz w:val="24"/>
          <w:szCs w:val="24"/>
        </w:rPr>
        <w:t xml:space="preserve">Table 4.18 places the present result alongside published studies applying machine learning to typhoid diagnosis.</w:t>
      </w:r>
    </w:p>
    <w:p>
      <w:pPr>
        <w:spacing w:after="80" w:before="160" w:line="240" w:lineRule="auto"/>
        <w:jc w:val="left"/>
      </w:pPr>
      <w:r>
        <w:rPr>
          <w:rFonts w:ascii="Times New Roman" w:cs="Times New Roman" w:eastAsia="Times New Roman" w:hAnsi="Times New Roman"/>
          <w:sz w:val="24"/>
          <w:szCs w:val="24"/>
        </w:rPr>
        <w:t xml:space="preserve">Table 4.18: Comparison with Related Studies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1933"/>
        <w:gridCol w:w="2284"/>
        <w:gridCol w:w="2636"/>
        <w:gridCol w:w="1933"/>
      </w:tblGrid>
      <w:tr>
        <w:trPr>
          <w:tblHeader/>
        </w:trPr>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Study</w:t>
            </w:r>
          </w:p>
        </w:tc>
        <w:tc>
          <w:tcPr>
            <w:tcW w:type="dxa" w:w="2284"/>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Method</w:t>
            </w:r>
          </w:p>
        </w:tc>
        <w:tc>
          <w:tcPr>
            <w:tcW w:type="dxa" w:w="263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Reported performance</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Baseline reported</w:t>
            </w:r>
          </w:p>
        </w:tc>
      </w:tr>
      <w:tr>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Bhuiyan et al. (2023)</w:t>
            </w:r>
          </w:p>
        </w:tc>
        <w:tc>
          <w:tcPr>
            <w:tcW w:type="dxa" w:w="228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ML and ANN</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Accuracy reported above 90%</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r>
      <w:tr>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Nishat et al. (2025)</w:t>
            </w:r>
          </w:p>
        </w:tc>
        <w:tc>
          <w:tcPr>
            <w:tcW w:type="dxa" w:w="228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Lightweight metamodel</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AUC 1.00</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r>
      <w:tr>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Awotunde et al. (2023)</w:t>
            </w:r>
          </w:p>
        </w:tc>
        <w:tc>
          <w:tcPr>
            <w:tcW w:type="dxa" w:w="228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Genetic neuro-fuzzy system</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High reported accuracy</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r>
      <w:tr>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Attai et al. (2024)</w:t>
            </w:r>
          </w:p>
        </w:tc>
        <w:tc>
          <w:tcPr>
            <w:tcW w:type="dxa" w:w="228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Explainable AI with LLMs</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Interpretability focus</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r>
      <w:tr>
        <w:tc>
          <w:tcPr>
            <w:tcW w:type="dxa" w:w="1933"/>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Present study</w:t>
            </w:r>
          </w:p>
        </w:tc>
        <w:tc>
          <w:tcPr>
            <w:tcW w:type="dxa" w:w="2284"/>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Optimised SVM (linear, C = 0.1)</w:t>
            </w:r>
          </w:p>
        </w:tc>
        <w:tc>
          <w:tcPr>
            <w:tcW w:type="dxa" w:w="263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Accuracy 0.9875, macro F1 0.9849</w:t>
            </w:r>
          </w:p>
        </w:tc>
        <w:tc>
          <w:tcPr>
            <w:tcW w:type="dxa" w:w="1933"/>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Yes — single-rule baseline 0.9875</w:t>
            </w:r>
          </w:p>
        </w:tc>
      </w:tr>
    </w:tbl>
    <w:p>
      <w:pPr>
        <w:spacing w:after="160" w:line="360" w:lineRule="auto"/>
        <w:jc w:val="both"/>
      </w:pPr>
      <w:r>
        <w:rPr>
          <w:rFonts w:ascii="Times New Roman" w:cs="Times New Roman" w:eastAsia="Times New Roman" w:hAnsi="Times New Roman"/>
          <w:sz w:val="24"/>
          <w:szCs w:val="24"/>
        </w:rPr>
        <w:t xml:space="preserve">The accuracy obtained in this study is consistent with, and in several cases exceeds, the figures reported in the literature for machine learning applied to typhoid diagnosis. On a conventional reading, the result would be presented as confirming the effectiveness of the Support Vector Machine for this task.</w:t>
      </w:r>
    </w:p>
    <w:p>
      <w:pPr>
        <w:spacing w:after="160" w:line="360" w:lineRule="auto"/>
        <w:jc w:val="both"/>
      </w:pPr>
      <w:r>
        <w:rPr>
          <w:rFonts w:ascii="Times New Roman" w:cs="Times New Roman" w:eastAsia="Times New Roman" w:hAnsi="Times New Roman"/>
          <w:sz w:val="24"/>
          <w:szCs w:val="24"/>
        </w:rPr>
        <w:t xml:space="preserve">That reading cannot be sustained on the present evidence. The signal audit in Section 4.6 establishes that a one-line rule reproduces the model's accuracy exactly, and that removing a single attribute collapses performance to near chance. The comparison in Table 4.18 is therefore not a comparison of diagnostic capability. It is a comparison of reported accuracy figures obtained on datasets whose integrity was, in the studies reviewed, not established. Nishat et al. (2025) report an AUC of 1.00 on data that the present audit found separable to perfect balanced accuracy by a decision tree of depth three; a perfect AUC is more parsimoniously explained by the structure of the data than by the merit of the model.</w:t>
      </w:r>
    </w:p>
    <w:p>
      <w:pPr>
        <w:spacing w:after="160" w:line="360" w:lineRule="auto"/>
        <w:jc w:val="both"/>
      </w:pPr>
      <w:r>
        <w:rPr>
          <w:rFonts w:ascii="Times New Roman" w:cs="Times New Roman" w:eastAsia="Times New Roman" w:hAnsi="Times New Roman"/>
          <w:sz w:val="24"/>
          <w:szCs w:val="24"/>
        </w:rPr>
        <w:t xml:space="preserve">This observation constitutes the principal methodological contribution of the present study. None of the studies reviewed reports a baseline classifier against which its machine learning result can be judged. Without such a baseline, an accuracy figure carries no information about whether the model has learned anything a single threshold could not. The routine reporting of trivial baselines alongside model performance would materially improve the evidentiary standard of this literature, at negligible cost.</w:t>
      </w:r>
    </w:p>
    <w:p>
      <w:pPr>
        <w:pStyle w:val="Heading3"/>
        <w:spacing w:after="100" w:before="200" w:line="360" w:lineRule="auto"/>
        <w:jc w:val="left"/>
      </w:pPr>
      <w:r>
        <w:rPr>
          <w:rFonts w:ascii="Times New Roman" w:cs="Times New Roman" w:eastAsia="Times New Roman" w:hAnsi="Times New Roman"/>
          <w:b/>
          <w:bCs/>
          <w:sz w:val="24"/>
          <w:szCs w:val="24"/>
        </w:rPr>
        <w:t xml:space="preserve">4.8.2 Implications for resource-limited settings</w:t>
      </w:r>
    </w:p>
    <w:p>
      <w:pPr>
        <w:spacing w:after="160" w:line="360" w:lineRule="auto"/>
        <w:jc w:val="both"/>
      </w:pPr>
      <w:r>
        <w:rPr>
          <w:rFonts w:ascii="Times New Roman" w:cs="Times New Roman" w:eastAsia="Times New Roman" w:hAnsi="Times New Roman"/>
          <w:sz w:val="24"/>
          <w:szCs w:val="24"/>
        </w:rPr>
        <w:t xml:space="preserve">The aim of this study was to support rapid and accurate diagnosis in resource-limited settings. Three findings bear on that aim, and they should be distinguished carefully.</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The engineering is transferable and the constraint is not computational.</w:t>
      </w:r>
      <w:r>
        <w:rPr>
          <w:rFonts w:ascii="Times New Roman" w:cs="Times New Roman" w:eastAsia="Times New Roman" w:hAnsi="Times New Roman"/>
          <w:sz w:val="24"/>
          <w:szCs w:val="24"/>
        </w:rPr>
        <w:t xml:space="preserve"> The complete pipeline — preprocessing, resampling within the pipeline, cross-validated optimisation, probability calibration, evaluation and deployment — is dataset-agnostic and operates within 0.1 CPU and 512 MB of memory, at under ten milliseconds per prediction. Retraining on a clinically valid dataset requires a configuration change and a re-run, not a redesign.</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The interface addresses a real operational constraint.</w:t>
      </w:r>
      <w:r>
        <w:rPr>
          <w:rFonts w:ascii="Times New Roman" w:cs="Times New Roman" w:eastAsia="Times New Roman" w:hAnsi="Times New Roman"/>
          <w:sz w:val="24"/>
          <w:szCs w:val="24"/>
        </w:rPr>
        <w:t xml:space="preserve"> Schema-driven validation prevents an out-of-range value reaching the model, the three commonly unrecorded attributes are optional rather than mandatory, and the responsive layout is usable on a mobile handset. These are the conditions under which a point-of-care tool must actually operate.</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The model itself is not fit for clinical use on this training data.</w:t>
      </w:r>
      <w:r>
        <w:rPr>
          <w:rFonts w:ascii="Times New Roman" w:cs="Times New Roman" w:eastAsia="Times New Roman" w:hAnsi="Times New Roman"/>
          <w:sz w:val="24"/>
          <w:szCs w:val="24"/>
        </w:rPr>
        <w:t xml:space="preserve"> A system that misses 74 of 1,877 typhoid cases while never raising a false alarm, and whose behaviour is reproducible by a single threshold on fever duration, offers a clinician nothing that inspection of the fever history does not already provide.</w:t>
      </w:r>
    </w:p>
    <w:p>
      <w:pPr>
        <w:spacing w:after="160" w:line="360" w:lineRule="auto"/>
        <w:jc w:val="both"/>
      </w:pPr>
      <w:r>
        <w:rPr>
          <w:rFonts w:ascii="Times New Roman" w:cs="Times New Roman" w:eastAsia="Times New Roman" w:hAnsi="Times New Roman"/>
          <w:sz w:val="24"/>
          <w:szCs w:val="24"/>
        </w:rPr>
        <w:t xml:space="preserve">The honest conclusion is therefore that this study delivers a validated deployment pathway rather than a validated diagnostic instrument. That is a smaller claim than the literature typically advances, and a better supported one.</w:t>
      </w:r>
    </w:p>
    <w:p>
      <w:pPr>
        <w:pStyle w:val="Heading3"/>
        <w:spacing w:after="100" w:before="200" w:line="360" w:lineRule="auto"/>
        <w:jc w:val="left"/>
      </w:pPr>
      <w:r>
        <w:rPr>
          <w:rFonts w:ascii="Times New Roman" w:cs="Times New Roman" w:eastAsia="Times New Roman" w:hAnsi="Times New Roman"/>
          <w:b/>
          <w:bCs/>
          <w:sz w:val="24"/>
          <w:szCs w:val="24"/>
        </w:rPr>
        <w:t xml:space="preserve">4.8.3 Limitations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The dataset is synthetic, and its label is encoded deterministically in Fever Duration for the binary task and in White Blood Cell Count for the </w:t>
      </w:r>
      <w:r>
        <w:rPr>
          <w:rFonts w:ascii="Times New Roman" w:cs="Times New Roman" w:eastAsia="Times New Roman" w:hAnsi="Times New Roman"/>
          <w:i/>
          <w:iCs/>
          <w:sz w:val="24"/>
          <w:szCs w:val="24"/>
        </w:rPr>
        <w:t xml:space="preserve">Complicated Typhoid</w:t>
      </w:r>
      <w:r>
        <w:rPr>
          <w:rFonts w:ascii="Times New Roman" w:cs="Times New Roman" w:eastAsia="Times New Roman" w:hAnsi="Times New Roman"/>
          <w:sz w:val="24"/>
          <w:szCs w:val="24"/>
        </w:rPr>
        <w:t xml:space="preserve"> category. All performance figures in this chapter measure the construction of the dataset rather than diagnostic capability.</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The distinction between </w:t>
      </w:r>
      <w:r>
        <w:rPr>
          <w:rFonts w:ascii="Times New Roman" w:cs="Times New Roman" w:eastAsia="Times New Roman" w:hAnsi="Times New Roman"/>
          <w:i/>
          <w:iCs/>
          <w:sz w:val="24"/>
          <w:szCs w:val="24"/>
        </w:rPr>
        <w:t xml:space="preserve">Acute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Relapsing Typhoid</w:t>
      </w:r>
      <w:r>
        <w:rPr>
          <w:rFonts w:ascii="Times New Roman" w:cs="Times New Roman" w:eastAsia="Times New Roman" w:hAnsi="Times New Roman"/>
          <w:sz w:val="24"/>
          <w:szCs w:val="24"/>
        </w:rPr>
        <w:t xml:space="preserve"> is not encoded in any attribute and is therefore not learnable from these data.</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Uniform performance across geographic subgroups reflects the statistical independence of the Location attribute from the diagnosis, and should not be read as demonstrated external generalisability.</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No prospective clinical validation was undertaken. The system has not been evaluated against blood culture on real patients, and no claim of clinical utility is made.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The two alternative public datasets audited were found unsuitable for different reasons, so external validation on an independent typhoid dataset was not possible within this study.</w:t>
      </w:r>
    </w:p>
    <w:p>
      <w:pPr>
        <w:pStyle w:val="Heading2"/>
        <w:spacing w:after="120" w:before="240" w:line="360" w:lineRule="auto"/>
        <w:jc w:val="left"/>
      </w:pPr>
      <w:r>
        <w:rPr>
          <w:rFonts w:ascii="Times New Roman" w:cs="Times New Roman" w:eastAsia="Times New Roman" w:hAnsi="Times New Roman"/>
          <w:b/>
          <w:bCs/>
          <w:sz w:val="24"/>
          <w:szCs w:val="24"/>
        </w:rPr>
        <w:t xml:space="preserve">4.9 Summary of Findings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typhoid dataset of 31,087 records and 23 attributes was obtained and preprocessed. Two leakage-prone attributes were withheld and a further seven dropped at supervisory review, leaving a feature space of 13 attributes, every one obtainable by history and examination at the point of care and every one complete for all records. Neurological Symptoms was recoded as a binary Headache indicator. Categorical attributes were encoded, numeric attributes standardised, and class imbalance addressed using SMOTENC applied within the modelling pipeline. Objective 1 is satisfied.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Three kernel functions were compared and 24 configurations evaluated under three-fold stratified cross-validation. Twelve configurations tied for first place at a cross-validated macro F1 of 0.9842, and a linear kernel with C = 0.1 was selected as the fastest and least flexible of them. Objective 2 is satisfied.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The optimised model achieved an accuracy of 0.9875, a macro F1 of 0.9849, a sensitivity of 0.9584 and a specificity of 1.0000 on 6,218 unseen records, at an inference latency of 7.78 milliseconds per record. Objective 3 is satisfied.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Reducing the feature space from twenty attributes to thirteen cost 0.06 accuracy points, so the diagnostic model does not depend on laboratory support. The severity stratification model is the exception: severity is encoded in the white blood cell count alone, and the four-class macro F1 falls to 0.4722 once that attribute is removed.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Macro F1 varied by only 0.0065 across the endemic, rural and urban subgroups, with identical specificity in all three. Objective 4 is satisfied as stated.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The optimised model was deployed as a live, authenticated, role-based clinical decision-support application on Render, verified by 204 automated tests and a ten-case user acceptance test conducted against the deployed instance.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signal audit established that a single threshold on Fever Duration reproduces the model's accuracy of 0.9875 exactly; that removing that attribute collapses balanced accuracy to 0.4874, below the chance floor; and that two further public typhoid datasets exhibit comparable, though different, integrity defects. The reported accuracy therefore measures the construction of the dataset rather than the diagnostic capability of the model, and validation on clinically obtained data is required before any claim of diagnostic utility can be advanced.</w:t>
      </w:r>
    </w:p>
    <w:sectPr>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abstractNum w:abstractNumId="7" w15:restartNumberingAfterBreak="0">
    <w:multiLevelType w:val="hybridMultilevel"/>
    <w:lvl w:ilvl="0" w15:tentative="1">
      <w:start w:val="1"/>
      <w:numFmt w:val="decimal"/>
      <w:lvlText w:val="%1."/>
      <w:lvlJc w:val="start"/>
      <w:pPr>
        <w:ind w:left="720" w:hanging="360"/>
      </w:pPr>
    </w:lvl>
  </w:abstractNum>
  <w:abstractNum w:abstractNumId="8" w15:restartNumberingAfterBreak="0">
    <w:multiLevelType w:val="hybridMultilevel"/>
    <w:lvl w:ilvl="0" w15:tentative="1">
      <w:start w:val="1"/>
      <w:numFmt w:val="decimal"/>
      <w:lvlText w:val="%1."/>
      <w:lvlJc w:val="start"/>
      <w:pPr>
        <w:ind w:left="720" w:hanging="360"/>
      </w:pPr>
    </w:lvl>
  </w:abstractNum>
  <w:abstractNum w:abstractNumId="9"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rPr>
      <w:rFonts w:ascii="Times New Roman" w:cs="Times New Roman" w:eastAsia="Times New Roman" w:hAnsi="Times New Roman"/>
      <w:b/>
      <w:bCs/>
      <w:sz w:val="24"/>
      <w:szCs w:val="24"/>
    </w:rPr>
  </w:style>
  <w:style w:type="paragraph" w:styleId="Heading2">
    <w:name w:val="Heading 2"/>
    <w:basedOn w:val="Normal"/>
    <w:qFormat/>
    <w:rPr>
      <w:rFonts w:ascii="Times New Roman" w:cs="Times New Roman" w:eastAsia="Times New Roman" w:hAnsi="Times New Roman"/>
      <w:b/>
      <w:bCs/>
      <w:sz w:val="24"/>
      <w:szCs w:val="24"/>
    </w:rPr>
  </w:style>
  <w:style w:type="paragraph" w:styleId="Heading3">
    <w:name w:val="Heading 3"/>
    <w:basedOn w:val="Normal"/>
    <w:qFormat/>
    <w:rPr>
      <w:rFonts w:ascii="Times New Roman" w:cs="Times New Roman" w:eastAsia="Times New Roman" w:hAnsi="Times New Roman"/>
      <w:b/>
      <w:bCs/>
      <w:sz w:val="24"/>
      <w:szCs w:val="24"/>
    </w:rPr>
  </w:style>
  <w:style w:type="paragraph" w:styleId="Heading4">
    <w:name w:val="Heading 4"/>
    <w:basedOn w:val="Normal"/>
    <w:qFormat/>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c38f78c45a8bda976eb083baa356279ac5e7e4.png"/><Relationship Id="rId8" Type="http://schemas.openxmlformats.org/officeDocument/2006/relationships/image" Target="media/eeceaf64d23309eecc7601aa72efd9203df826eb.png"/><Relationship Id="rId9" Type="http://schemas.openxmlformats.org/officeDocument/2006/relationships/image" Target="media/a5fc307499481cfd921b9023b5333aac2bf79afe.png"/><Relationship Id="rId10" Type="http://schemas.openxmlformats.org/officeDocument/2006/relationships/image" Target="media/e4f11f6bcfbac7bb9087366aae5a849573918bfb.png"/><Relationship Id="rId11" Type="http://schemas.openxmlformats.org/officeDocument/2006/relationships/image" Target="media/409d06fa1b3f41fcb6f54dd188d916f44e06dd8a.png"/><Relationship Id="rId12" Type="http://schemas.openxmlformats.org/officeDocument/2006/relationships/image" Target="media/f20df805b7c496ebfbc029289722b8f3e7dc42e4.png"/><Relationship Id="rId13" Type="http://schemas.openxmlformats.org/officeDocument/2006/relationships/image" Target="media/091056cff0e5a2c8daf6a99122123beccee395b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2026-09-19T06:09:32.276Z</dcterms:created>
  <dcterms:modified xsi:type="dcterms:W3CDTF">2026-09-19T06:09:32.285Z</dcterms:modified>
</cp:coreProperties>
</file>

<file path=docProps/custom.xml><?xml version="1.0" encoding="utf-8"?>
<Properties xmlns="http://schemas.openxmlformats.org/officeDocument/2006/custom-properties" xmlns:vt="http://schemas.openxmlformats.org/officeDocument/2006/docPropsVTypes"/>
</file>