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414" w:rsidRDefault="00CA7414" w:rsidP="00CA7414">
      <w:pPr>
        <w:spacing w:before="100" w:beforeAutospacing="1" w:after="100" w:afterAutospacing="1"/>
        <w:ind w:left="1440"/>
        <w:rPr>
          <w:rFonts w:asciiTheme="minorHAnsi" w:hAnsiTheme="minorHAnsi"/>
        </w:rPr>
      </w:pPr>
      <w:bookmarkStart w:id="0" w:name="_GoBack"/>
      <w:bookmarkEnd w:id="0"/>
      <w:r>
        <w:rPr>
          <w:rFonts w:asciiTheme="minorHAnsi" w:hAnsiTheme="minorHAnsi"/>
        </w:rPr>
        <w:t>Assignment 3 Discussion</w:t>
      </w:r>
      <w:r>
        <w:rPr>
          <w:rFonts w:asciiTheme="minorHAnsi" w:hAnsiTheme="minorHAnsi"/>
        </w:rPr>
        <w:br/>
        <w:t xml:space="preserve">Authors: Daniel </w:t>
      </w:r>
      <w:proofErr w:type="spellStart"/>
      <w:r>
        <w:rPr>
          <w:rFonts w:asciiTheme="minorHAnsi" w:hAnsiTheme="minorHAnsi"/>
        </w:rPr>
        <w:t>Linberg</w:t>
      </w:r>
      <w:proofErr w:type="spellEnd"/>
      <w:r>
        <w:rPr>
          <w:rFonts w:asciiTheme="minorHAnsi" w:hAnsiTheme="minorHAnsi"/>
        </w:rPr>
        <w:t xml:space="preserve">, Alex Davis, </w:t>
      </w:r>
      <w:proofErr w:type="spellStart"/>
      <w:proofErr w:type="gramStart"/>
      <w:r>
        <w:rPr>
          <w:rFonts w:asciiTheme="minorHAnsi" w:hAnsiTheme="minorHAnsi"/>
        </w:rPr>
        <w:t>Bao</w:t>
      </w:r>
      <w:proofErr w:type="spellEnd"/>
      <w:proofErr w:type="gramEnd"/>
      <w:r>
        <w:rPr>
          <w:rFonts w:asciiTheme="minorHAnsi" w:hAnsiTheme="minorHAnsi"/>
        </w:rPr>
        <w:t xml:space="preserve"> Do</w:t>
      </w:r>
    </w:p>
    <w:p w:rsidR="006356B3" w:rsidRDefault="006356B3" w:rsidP="006356B3">
      <w:pPr>
        <w:spacing w:before="100" w:beforeAutospacing="1" w:after="100" w:afterAutospacing="1"/>
        <w:ind w:left="1440"/>
        <w:rPr>
          <w:rFonts w:asciiTheme="minorHAnsi" w:hAnsiTheme="minorHAnsi"/>
        </w:rPr>
      </w:pPr>
      <w:r>
        <w:rPr>
          <w:rFonts w:asciiTheme="minorHAnsi" w:hAnsiTheme="minorHAnsi"/>
        </w:rPr>
        <w:t>Based off the minimum number of comparisons for each threshold value from 8 to 16 we can conclude that the hybrid sort of quick and insertion is always has the least amount of comparisons. The least amount of comparisons with an array of size 50 seems to be the threshold of 10 for quick and insertion. The quick and insertion comparison line in the given graph shows that the number of comparisons doesn’t seem to increase or decrease based off of threshold value, while the other hybrid sorts seem to increase the amount of comparisons, with the exception of merge and insertion. We can account for quick and insertion having the least amount of comparisons because if you put all the numbers below a certain pivot on one side and compare the values they will be a little more in-order when the hybrid sort passes to the small sort, when compared to merge sort which just puts half the values on one side.</w:t>
      </w:r>
      <w:r w:rsidR="00D84B6B">
        <w:rPr>
          <w:rFonts w:asciiTheme="minorHAnsi" w:hAnsiTheme="minorHAnsi"/>
        </w:rPr>
        <w:t xml:space="preserve"> </w:t>
      </w:r>
    </w:p>
    <w:p w:rsidR="00D84B6B" w:rsidRDefault="00D84B6B" w:rsidP="006356B3">
      <w:pPr>
        <w:spacing w:before="100" w:beforeAutospacing="1" w:after="100" w:afterAutospacing="1"/>
        <w:ind w:left="1440"/>
        <w:rPr>
          <w:rFonts w:asciiTheme="minorHAnsi" w:hAnsiTheme="minorHAnsi"/>
        </w:rPr>
      </w:pPr>
      <w:r>
        <w:rPr>
          <w:rFonts w:asciiTheme="minorHAnsi" w:hAnsiTheme="minorHAnsi"/>
        </w:rPr>
        <w:t xml:space="preserve">The bubble sort seems to have more comparisons with a larger threshold in comparison to insertion sort. </w:t>
      </w:r>
      <w:r w:rsidR="004F20C2">
        <w:rPr>
          <w:rFonts w:asciiTheme="minorHAnsi" w:hAnsiTheme="minorHAnsi"/>
        </w:rPr>
        <w:t xml:space="preserve">In addition it seems to be that the optimal threshold value to get the least amount of comparisons it is a threshold value of 8. This makes sense because a lower threshold value means that you have to </w:t>
      </w:r>
      <w:proofErr w:type="gramStart"/>
      <w:r w:rsidR="004F20C2">
        <w:rPr>
          <w:rFonts w:asciiTheme="minorHAnsi" w:hAnsiTheme="minorHAnsi"/>
        </w:rPr>
        <w:t>do least</w:t>
      </w:r>
      <w:proofErr w:type="gramEnd"/>
      <w:r w:rsidR="004F20C2">
        <w:rPr>
          <w:rFonts w:asciiTheme="minorHAnsi" w:hAnsiTheme="minorHAnsi"/>
        </w:rPr>
        <w:t xml:space="preserve"> amount of comparisons with the small sort. With a higher threshold value we have to rely on the small sort to do more </w:t>
      </w:r>
      <w:proofErr w:type="gramStart"/>
      <w:r w:rsidR="004F20C2">
        <w:rPr>
          <w:rFonts w:asciiTheme="minorHAnsi" w:hAnsiTheme="minorHAnsi"/>
        </w:rPr>
        <w:t>comparisons which</w:t>
      </w:r>
      <w:proofErr w:type="gramEnd"/>
      <w:r w:rsidR="004F20C2">
        <w:rPr>
          <w:rFonts w:asciiTheme="minorHAnsi" w:hAnsiTheme="minorHAnsi"/>
        </w:rPr>
        <w:t xml:space="preserve"> is why it is a higher average than the other thresholds. </w:t>
      </w:r>
    </w:p>
    <w:p w:rsidR="004F20C2" w:rsidRDefault="004F20C2" w:rsidP="006356B3">
      <w:pPr>
        <w:spacing w:before="100" w:beforeAutospacing="1" w:after="100" w:afterAutospacing="1"/>
        <w:ind w:left="1440"/>
        <w:rPr>
          <w:rFonts w:asciiTheme="minorHAnsi" w:hAnsiTheme="minorHAnsi"/>
        </w:rPr>
      </w:pPr>
      <w:r>
        <w:rPr>
          <w:rFonts w:asciiTheme="minorHAnsi" w:hAnsiTheme="minorHAnsi"/>
        </w:rPr>
        <w:t xml:space="preserve">Another interesting thing to point out is that as the threshold increases the amount of comparisons for the merge and insertion seems to decrease, while all of the 3 other hybrid sorts have the amount of comparisons increase. I would guess </w:t>
      </w:r>
      <w:proofErr w:type="gramStart"/>
      <w:r>
        <w:rPr>
          <w:rFonts w:asciiTheme="minorHAnsi" w:hAnsiTheme="minorHAnsi"/>
        </w:rPr>
        <w:t>the for</w:t>
      </w:r>
      <w:proofErr w:type="gramEnd"/>
      <w:r>
        <w:rPr>
          <w:rFonts w:asciiTheme="minorHAnsi" w:hAnsiTheme="minorHAnsi"/>
        </w:rPr>
        <w:t xml:space="preserve"> smaller thresholds the amount of comparisons would also decrease.</w:t>
      </w:r>
    </w:p>
    <w:p w:rsidR="00D31213" w:rsidRDefault="00D31213"/>
    <w:tbl>
      <w:tblPr>
        <w:tblW w:w="13200" w:type="dxa"/>
        <w:tblInd w:w="-15" w:type="dxa"/>
        <w:tblLook w:val="04A0" w:firstRow="1" w:lastRow="0" w:firstColumn="1" w:lastColumn="0" w:noHBand="0" w:noVBand="1"/>
      </w:tblPr>
      <w:tblGrid>
        <w:gridCol w:w="1320"/>
        <w:gridCol w:w="1860"/>
        <w:gridCol w:w="2120"/>
        <w:gridCol w:w="2000"/>
        <w:gridCol w:w="1940"/>
        <w:gridCol w:w="1320"/>
        <w:gridCol w:w="1320"/>
        <w:gridCol w:w="1320"/>
      </w:tblGrid>
      <w:tr w:rsidR="001A4049" w:rsidTr="001A4049">
        <w:trPr>
          <w:trHeight w:val="315"/>
        </w:trPr>
        <w:tc>
          <w:tcPr>
            <w:tcW w:w="1320" w:type="dxa"/>
            <w:tcBorders>
              <w:top w:val="nil"/>
              <w:left w:val="nil"/>
              <w:bottom w:val="nil"/>
              <w:right w:val="nil"/>
            </w:tcBorders>
            <w:shd w:val="clear" w:color="auto" w:fill="auto"/>
            <w:noWrap/>
            <w:vAlign w:val="bottom"/>
            <w:hideMark/>
          </w:tcPr>
          <w:p w:rsidR="001A4049" w:rsidRDefault="001A4049">
            <w:pPr>
              <w:rPr>
                <w:rFonts w:ascii="Calibri" w:hAnsi="Calibri"/>
                <w:color w:val="000000"/>
              </w:rPr>
            </w:pPr>
          </w:p>
        </w:tc>
        <w:tc>
          <w:tcPr>
            <w:tcW w:w="1860" w:type="dxa"/>
            <w:tcBorders>
              <w:top w:val="nil"/>
              <w:left w:val="nil"/>
              <w:bottom w:val="nil"/>
              <w:right w:val="nil"/>
            </w:tcBorders>
            <w:shd w:val="clear" w:color="auto" w:fill="auto"/>
            <w:noWrap/>
            <w:vAlign w:val="bottom"/>
            <w:hideMark/>
          </w:tcPr>
          <w:p w:rsidR="001A4049" w:rsidRDefault="001A4049">
            <w:pPr>
              <w:rPr>
                <w:rFonts w:ascii="Calibri" w:hAnsi="Calibri"/>
                <w:color w:val="000000"/>
              </w:rPr>
            </w:pPr>
            <w:r>
              <w:rPr>
                <w:rFonts w:ascii="Calibri" w:hAnsi="Calibri"/>
                <w:color w:val="000000"/>
              </w:rPr>
              <w:t>Quick and Bubble</w:t>
            </w:r>
          </w:p>
        </w:tc>
        <w:tc>
          <w:tcPr>
            <w:tcW w:w="2120" w:type="dxa"/>
            <w:tcBorders>
              <w:top w:val="nil"/>
              <w:left w:val="nil"/>
              <w:bottom w:val="nil"/>
              <w:right w:val="nil"/>
            </w:tcBorders>
            <w:shd w:val="clear" w:color="auto" w:fill="auto"/>
            <w:noWrap/>
            <w:vAlign w:val="bottom"/>
            <w:hideMark/>
          </w:tcPr>
          <w:p w:rsidR="001A4049" w:rsidRDefault="001A4049">
            <w:pPr>
              <w:rPr>
                <w:rFonts w:ascii="Calibri" w:hAnsi="Calibri"/>
                <w:color w:val="000000"/>
              </w:rPr>
            </w:pPr>
            <w:proofErr w:type="gramStart"/>
            <w:r>
              <w:rPr>
                <w:rFonts w:ascii="Calibri" w:hAnsi="Calibri"/>
                <w:color w:val="000000"/>
              </w:rPr>
              <w:t>merge</w:t>
            </w:r>
            <w:proofErr w:type="gramEnd"/>
            <w:r>
              <w:rPr>
                <w:rFonts w:ascii="Calibri" w:hAnsi="Calibri"/>
                <w:color w:val="000000"/>
              </w:rPr>
              <w:t xml:space="preserve"> and insertion</w:t>
            </w:r>
          </w:p>
        </w:tc>
        <w:tc>
          <w:tcPr>
            <w:tcW w:w="2000" w:type="dxa"/>
            <w:tcBorders>
              <w:top w:val="nil"/>
              <w:left w:val="nil"/>
              <w:bottom w:val="nil"/>
              <w:right w:val="nil"/>
            </w:tcBorders>
            <w:shd w:val="clear" w:color="auto" w:fill="auto"/>
            <w:noWrap/>
            <w:vAlign w:val="bottom"/>
            <w:hideMark/>
          </w:tcPr>
          <w:p w:rsidR="001A4049" w:rsidRDefault="001A4049">
            <w:pPr>
              <w:rPr>
                <w:rFonts w:ascii="Calibri" w:hAnsi="Calibri"/>
                <w:color w:val="000000"/>
              </w:rPr>
            </w:pPr>
            <w:proofErr w:type="gramStart"/>
            <w:r>
              <w:rPr>
                <w:rFonts w:ascii="Calibri" w:hAnsi="Calibri"/>
                <w:color w:val="000000"/>
              </w:rPr>
              <w:t>quick</w:t>
            </w:r>
            <w:proofErr w:type="gramEnd"/>
            <w:r>
              <w:rPr>
                <w:rFonts w:ascii="Calibri" w:hAnsi="Calibri"/>
                <w:color w:val="000000"/>
              </w:rPr>
              <w:t xml:space="preserve"> and insertion</w:t>
            </w:r>
          </w:p>
        </w:tc>
        <w:tc>
          <w:tcPr>
            <w:tcW w:w="1940" w:type="dxa"/>
            <w:tcBorders>
              <w:top w:val="nil"/>
              <w:left w:val="nil"/>
              <w:bottom w:val="nil"/>
              <w:right w:val="nil"/>
            </w:tcBorders>
            <w:shd w:val="clear" w:color="auto" w:fill="auto"/>
            <w:noWrap/>
            <w:vAlign w:val="bottom"/>
            <w:hideMark/>
          </w:tcPr>
          <w:p w:rsidR="001A4049" w:rsidRDefault="001A4049">
            <w:pPr>
              <w:rPr>
                <w:rFonts w:ascii="Calibri" w:hAnsi="Calibri"/>
                <w:color w:val="000000"/>
              </w:rPr>
            </w:pPr>
            <w:proofErr w:type="gramStart"/>
            <w:r>
              <w:rPr>
                <w:rFonts w:ascii="Calibri" w:hAnsi="Calibri"/>
                <w:color w:val="000000"/>
              </w:rPr>
              <w:t>merge</w:t>
            </w:r>
            <w:proofErr w:type="gramEnd"/>
            <w:r>
              <w:rPr>
                <w:rFonts w:ascii="Calibri" w:hAnsi="Calibri"/>
                <w:color w:val="000000"/>
              </w:rPr>
              <w:t xml:space="preserve"> and bubble</w:t>
            </w:r>
          </w:p>
        </w:tc>
        <w:tc>
          <w:tcPr>
            <w:tcW w:w="1320" w:type="dxa"/>
            <w:tcBorders>
              <w:top w:val="nil"/>
              <w:left w:val="nil"/>
              <w:bottom w:val="nil"/>
              <w:right w:val="nil"/>
            </w:tcBorders>
            <w:shd w:val="clear" w:color="auto" w:fill="auto"/>
            <w:noWrap/>
            <w:vAlign w:val="bottom"/>
            <w:hideMark/>
          </w:tcPr>
          <w:p w:rsidR="001A4049" w:rsidRDefault="001A4049">
            <w:pPr>
              <w:rPr>
                <w:rFonts w:ascii="Calibri" w:hAnsi="Calibri"/>
                <w:color w:val="000000"/>
              </w:rPr>
            </w:pPr>
            <w:r>
              <w:rPr>
                <w:rFonts w:ascii="Calibri" w:hAnsi="Calibri"/>
                <w:color w:val="000000"/>
              </w:rPr>
              <w:t>Average</w:t>
            </w:r>
          </w:p>
        </w:tc>
        <w:tc>
          <w:tcPr>
            <w:tcW w:w="1320" w:type="dxa"/>
            <w:tcBorders>
              <w:top w:val="nil"/>
              <w:left w:val="nil"/>
              <w:bottom w:val="nil"/>
              <w:right w:val="nil"/>
            </w:tcBorders>
            <w:shd w:val="clear" w:color="auto" w:fill="auto"/>
            <w:noWrap/>
            <w:vAlign w:val="bottom"/>
            <w:hideMark/>
          </w:tcPr>
          <w:p w:rsidR="001A4049" w:rsidRDefault="001A4049">
            <w:pPr>
              <w:rPr>
                <w:rFonts w:ascii="Calibri" w:hAnsi="Calibri"/>
                <w:color w:val="000000"/>
              </w:rPr>
            </w:pPr>
            <w:r>
              <w:rPr>
                <w:rFonts w:ascii="Calibri" w:hAnsi="Calibri"/>
                <w:color w:val="000000"/>
              </w:rPr>
              <w:t>Max</w:t>
            </w:r>
          </w:p>
        </w:tc>
        <w:tc>
          <w:tcPr>
            <w:tcW w:w="1320" w:type="dxa"/>
            <w:tcBorders>
              <w:top w:val="nil"/>
              <w:left w:val="nil"/>
              <w:bottom w:val="nil"/>
              <w:right w:val="nil"/>
            </w:tcBorders>
            <w:shd w:val="clear" w:color="auto" w:fill="auto"/>
            <w:noWrap/>
            <w:vAlign w:val="bottom"/>
            <w:hideMark/>
          </w:tcPr>
          <w:p w:rsidR="001A4049" w:rsidRDefault="001A4049">
            <w:pPr>
              <w:rPr>
                <w:rFonts w:ascii="Calibri" w:hAnsi="Calibri"/>
                <w:color w:val="000000"/>
              </w:rPr>
            </w:pPr>
            <w:r>
              <w:rPr>
                <w:rFonts w:ascii="Calibri" w:hAnsi="Calibri"/>
                <w:color w:val="000000"/>
              </w:rPr>
              <w:t>Min</w:t>
            </w:r>
          </w:p>
        </w:tc>
      </w:tr>
      <w:tr w:rsidR="001A4049" w:rsidTr="001A4049">
        <w:trPr>
          <w:trHeight w:val="315"/>
        </w:trPr>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8</w:t>
            </w:r>
          </w:p>
        </w:tc>
        <w:tc>
          <w:tcPr>
            <w:tcW w:w="186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341</w:t>
            </w:r>
          </w:p>
        </w:tc>
        <w:tc>
          <w:tcPr>
            <w:tcW w:w="21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795</w:t>
            </w:r>
          </w:p>
        </w:tc>
        <w:tc>
          <w:tcPr>
            <w:tcW w:w="200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294</w:t>
            </w:r>
          </w:p>
        </w:tc>
        <w:tc>
          <w:tcPr>
            <w:tcW w:w="194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296</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431.5</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795</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294</w:t>
            </w:r>
          </w:p>
        </w:tc>
      </w:tr>
      <w:tr w:rsidR="001A4049" w:rsidTr="001A4049">
        <w:trPr>
          <w:trHeight w:val="315"/>
        </w:trPr>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9</w:t>
            </w:r>
          </w:p>
        </w:tc>
        <w:tc>
          <w:tcPr>
            <w:tcW w:w="186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577</w:t>
            </w:r>
          </w:p>
        </w:tc>
        <w:tc>
          <w:tcPr>
            <w:tcW w:w="21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828</w:t>
            </w:r>
          </w:p>
        </w:tc>
        <w:tc>
          <w:tcPr>
            <w:tcW w:w="200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256</w:t>
            </w:r>
          </w:p>
        </w:tc>
        <w:tc>
          <w:tcPr>
            <w:tcW w:w="194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338</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499.75</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828</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256</w:t>
            </w:r>
          </w:p>
        </w:tc>
      </w:tr>
      <w:tr w:rsidR="001A4049" w:rsidTr="001A4049">
        <w:trPr>
          <w:trHeight w:val="315"/>
        </w:trPr>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10</w:t>
            </w:r>
          </w:p>
        </w:tc>
        <w:tc>
          <w:tcPr>
            <w:tcW w:w="186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694</w:t>
            </w:r>
          </w:p>
        </w:tc>
        <w:tc>
          <w:tcPr>
            <w:tcW w:w="21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739</w:t>
            </w:r>
          </w:p>
        </w:tc>
        <w:tc>
          <w:tcPr>
            <w:tcW w:w="200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196</w:t>
            </w:r>
          </w:p>
        </w:tc>
        <w:tc>
          <w:tcPr>
            <w:tcW w:w="194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340</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492.25</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739</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196</w:t>
            </w:r>
          </w:p>
        </w:tc>
      </w:tr>
      <w:tr w:rsidR="001A4049" w:rsidTr="001A4049">
        <w:trPr>
          <w:trHeight w:val="315"/>
        </w:trPr>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11</w:t>
            </w:r>
          </w:p>
        </w:tc>
        <w:tc>
          <w:tcPr>
            <w:tcW w:w="186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628</w:t>
            </w:r>
          </w:p>
        </w:tc>
        <w:tc>
          <w:tcPr>
            <w:tcW w:w="21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726</w:t>
            </w:r>
          </w:p>
        </w:tc>
        <w:tc>
          <w:tcPr>
            <w:tcW w:w="200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252</w:t>
            </w:r>
          </w:p>
        </w:tc>
        <w:tc>
          <w:tcPr>
            <w:tcW w:w="194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397</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500.75</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726</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252</w:t>
            </w:r>
          </w:p>
        </w:tc>
      </w:tr>
      <w:tr w:rsidR="001A4049" w:rsidTr="001A4049">
        <w:trPr>
          <w:trHeight w:val="315"/>
        </w:trPr>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12</w:t>
            </w:r>
          </w:p>
        </w:tc>
        <w:tc>
          <w:tcPr>
            <w:tcW w:w="186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657</w:t>
            </w:r>
          </w:p>
        </w:tc>
        <w:tc>
          <w:tcPr>
            <w:tcW w:w="21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755</w:t>
            </w:r>
          </w:p>
        </w:tc>
        <w:tc>
          <w:tcPr>
            <w:tcW w:w="200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205</w:t>
            </w:r>
          </w:p>
        </w:tc>
        <w:tc>
          <w:tcPr>
            <w:tcW w:w="194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581</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549.5</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755</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205</w:t>
            </w:r>
          </w:p>
        </w:tc>
      </w:tr>
      <w:tr w:rsidR="001A4049" w:rsidTr="001A4049">
        <w:trPr>
          <w:trHeight w:val="315"/>
        </w:trPr>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13</w:t>
            </w:r>
          </w:p>
        </w:tc>
        <w:tc>
          <w:tcPr>
            <w:tcW w:w="186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911</w:t>
            </w:r>
          </w:p>
        </w:tc>
        <w:tc>
          <w:tcPr>
            <w:tcW w:w="21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697</w:t>
            </w:r>
          </w:p>
        </w:tc>
        <w:tc>
          <w:tcPr>
            <w:tcW w:w="200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222</w:t>
            </w:r>
          </w:p>
        </w:tc>
        <w:tc>
          <w:tcPr>
            <w:tcW w:w="194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638</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617</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911</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222</w:t>
            </w:r>
          </w:p>
        </w:tc>
      </w:tr>
      <w:tr w:rsidR="001A4049" w:rsidTr="001A4049">
        <w:trPr>
          <w:trHeight w:val="315"/>
        </w:trPr>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14</w:t>
            </w:r>
          </w:p>
        </w:tc>
        <w:tc>
          <w:tcPr>
            <w:tcW w:w="186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972</w:t>
            </w:r>
          </w:p>
        </w:tc>
        <w:tc>
          <w:tcPr>
            <w:tcW w:w="21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785</w:t>
            </w:r>
          </w:p>
        </w:tc>
        <w:tc>
          <w:tcPr>
            <w:tcW w:w="200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257</w:t>
            </w:r>
          </w:p>
        </w:tc>
        <w:tc>
          <w:tcPr>
            <w:tcW w:w="194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545</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639.75</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972</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257</w:t>
            </w:r>
          </w:p>
        </w:tc>
      </w:tr>
      <w:tr w:rsidR="001A4049" w:rsidTr="001A4049">
        <w:trPr>
          <w:trHeight w:val="315"/>
        </w:trPr>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15</w:t>
            </w:r>
          </w:p>
        </w:tc>
        <w:tc>
          <w:tcPr>
            <w:tcW w:w="186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938</w:t>
            </w:r>
          </w:p>
        </w:tc>
        <w:tc>
          <w:tcPr>
            <w:tcW w:w="21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672</w:t>
            </w:r>
          </w:p>
        </w:tc>
        <w:tc>
          <w:tcPr>
            <w:tcW w:w="200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220</w:t>
            </w:r>
          </w:p>
        </w:tc>
        <w:tc>
          <w:tcPr>
            <w:tcW w:w="194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532</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590.5</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938</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220</w:t>
            </w:r>
          </w:p>
        </w:tc>
      </w:tr>
      <w:tr w:rsidR="001A4049" w:rsidTr="001A4049">
        <w:trPr>
          <w:trHeight w:val="315"/>
        </w:trPr>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16</w:t>
            </w:r>
          </w:p>
        </w:tc>
        <w:tc>
          <w:tcPr>
            <w:tcW w:w="186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1004</w:t>
            </w:r>
          </w:p>
        </w:tc>
        <w:tc>
          <w:tcPr>
            <w:tcW w:w="21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690</w:t>
            </w:r>
          </w:p>
        </w:tc>
        <w:tc>
          <w:tcPr>
            <w:tcW w:w="200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228</w:t>
            </w:r>
          </w:p>
        </w:tc>
        <w:tc>
          <w:tcPr>
            <w:tcW w:w="194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556</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619.5</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1004</w:t>
            </w:r>
          </w:p>
        </w:tc>
        <w:tc>
          <w:tcPr>
            <w:tcW w:w="1320" w:type="dxa"/>
            <w:tcBorders>
              <w:top w:val="nil"/>
              <w:left w:val="nil"/>
              <w:bottom w:val="nil"/>
              <w:right w:val="nil"/>
            </w:tcBorders>
            <w:shd w:val="clear" w:color="auto" w:fill="auto"/>
            <w:noWrap/>
            <w:vAlign w:val="bottom"/>
            <w:hideMark/>
          </w:tcPr>
          <w:p w:rsidR="001A4049" w:rsidRDefault="001A4049">
            <w:pPr>
              <w:jc w:val="right"/>
              <w:rPr>
                <w:rFonts w:ascii="Calibri" w:hAnsi="Calibri"/>
                <w:color w:val="000000"/>
              </w:rPr>
            </w:pPr>
            <w:r>
              <w:rPr>
                <w:rFonts w:ascii="Calibri" w:hAnsi="Calibri"/>
                <w:color w:val="000000"/>
              </w:rPr>
              <w:t>228</w:t>
            </w:r>
          </w:p>
        </w:tc>
      </w:tr>
    </w:tbl>
    <w:p w:rsidR="001A4049" w:rsidRDefault="001A4049"/>
    <w:p w:rsidR="001A4049" w:rsidRDefault="001A4049">
      <w:r>
        <w:rPr>
          <w:noProof/>
        </w:rPr>
        <w:drawing>
          <wp:inline distT="0" distB="0" distL="0" distR="0" wp14:anchorId="7295D989" wp14:editId="79C74B6F">
            <wp:extent cx="11306175" cy="45720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A4049" w:rsidRDefault="001A4049"/>
    <w:sectPr w:rsidR="001A4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6B3"/>
    <w:rsid w:val="001A4049"/>
    <w:rsid w:val="004F20C2"/>
    <w:rsid w:val="006356B3"/>
    <w:rsid w:val="009E3BE5"/>
    <w:rsid w:val="00CA7414"/>
    <w:rsid w:val="00CB6F21"/>
    <w:rsid w:val="00CD0FBD"/>
    <w:rsid w:val="00D31213"/>
    <w:rsid w:val="00D84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049"/>
    <w:rPr>
      <w:rFonts w:ascii="Tahoma" w:hAnsi="Tahoma" w:cs="Tahoma"/>
      <w:sz w:val="16"/>
      <w:szCs w:val="16"/>
    </w:rPr>
  </w:style>
  <w:style w:type="character" w:customStyle="1" w:styleId="BalloonTextChar">
    <w:name w:val="Balloon Text Char"/>
    <w:basedOn w:val="DefaultParagraphFont"/>
    <w:link w:val="BalloonText"/>
    <w:uiPriority w:val="99"/>
    <w:semiHidden/>
    <w:rsid w:val="001A4049"/>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049"/>
    <w:rPr>
      <w:rFonts w:ascii="Tahoma" w:hAnsi="Tahoma" w:cs="Tahoma"/>
      <w:sz w:val="16"/>
      <w:szCs w:val="16"/>
    </w:rPr>
  </w:style>
  <w:style w:type="character" w:customStyle="1" w:styleId="BalloonTextChar">
    <w:name w:val="Balloon Text Char"/>
    <w:basedOn w:val="DefaultParagraphFont"/>
    <w:link w:val="BalloonText"/>
    <w:uiPriority w:val="99"/>
    <w:semiHidden/>
    <w:rsid w:val="001A404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26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niel\Downloads\Graph%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Comparions</a:t>
            </a:r>
            <a:r>
              <a:rPr lang="en-US" baseline="0"/>
              <a:t> vs Threshold values (Sample size 50)</a:t>
            </a:r>
            <a:endParaRPr lang="en-US"/>
          </a:p>
        </c:rich>
      </c:tx>
      <c:layout/>
      <c:overlay val="1"/>
    </c:title>
    <c:autoTitleDeleted val="0"/>
    <c:plotArea>
      <c:layout>
        <c:manualLayout>
          <c:layoutTarget val="inner"/>
          <c:xMode val="edge"/>
          <c:yMode val="edge"/>
          <c:x val="0.0717307483926895"/>
          <c:y val="0.00916730328495034"/>
          <c:w val="0.77689310481832"/>
          <c:h val="0.90626949706153"/>
        </c:manualLayout>
      </c:layout>
      <c:lineChart>
        <c:grouping val="standard"/>
        <c:varyColors val="0"/>
        <c:ser>
          <c:idx val="0"/>
          <c:order val="0"/>
          <c:tx>
            <c:strRef>
              <c:f>'[Graph .xlsx]Sheet1'!$B$1</c:f>
              <c:strCache>
                <c:ptCount val="1"/>
                <c:pt idx="0">
                  <c:v>Quick and Bubble</c:v>
                </c:pt>
              </c:strCache>
            </c:strRef>
          </c:tx>
          <c:marker>
            <c:symbol val="none"/>
          </c:marker>
          <c:cat>
            <c:numRef>
              <c:f>'[Graph .xlsx]Sheet1'!$A$2:$A$10</c:f>
              <c:numCache>
                <c:formatCode>General</c:formatCode>
                <c:ptCount val="9"/>
                <c:pt idx="0">
                  <c:v>8.0</c:v>
                </c:pt>
                <c:pt idx="1">
                  <c:v>9.0</c:v>
                </c:pt>
                <c:pt idx="2">
                  <c:v>10.0</c:v>
                </c:pt>
                <c:pt idx="3">
                  <c:v>11.0</c:v>
                </c:pt>
                <c:pt idx="4">
                  <c:v>12.0</c:v>
                </c:pt>
                <c:pt idx="5">
                  <c:v>13.0</c:v>
                </c:pt>
                <c:pt idx="6">
                  <c:v>14.0</c:v>
                </c:pt>
                <c:pt idx="7">
                  <c:v>15.0</c:v>
                </c:pt>
                <c:pt idx="8">
                  <c:v>16.0</c:v>
                </c:pt>
              </c:numCache>
            </c:numRef>
          </c:cat>
          <c:val>
            <c:numRef>
              <c:f>'[Graph .xlsx]Sheet1'!$B$2:$B$10</c:f>
              <c:numCache>
                <c:formatCode>General</c:formatCode>
                <c:ptCount val="9"/>
                <c:pt idx="0">
                  <c:v>341.0</c:v>
                </c:pt>
                <c:pt idx="1">
                  <c:v>577.0</c:v>
                </c:pt>
                <c:pt idx="2">
                  <c:v>694.0</c:v>
                </c:pt>
                <c:pt idx="3">
                  <c:v>628.0</c:v>
                </c:pt>
                <c:pt idx="4">
                  <c:v>657.0</c:v>
                </c:pt>
                <c:pt idx="5">
                  <c:v>911.0</c:v>
                </c:pt>
                <c:pt idx="6">
                  <c:v>972.0</c:v>
                </c:pt>
                <c:pt idx="7">
                  <c:v>938.0</c:v>
                </c:pt>
                <c:pt idx="8">
                  <c:v>1004.0</c:v>
                </c:pt>
              </c:numCache>
            </c:numRef>
          </c:val>
          <c:smooth val="0"/>
        </c:ser>
        <c:ser>
          <c:idx val="1"/>
          <c:order val="1"/>
          <c:tx>
            <c:strRef>
              <c:f>'[Graph .xlsx]Sheet1'!$C$1</c:f>
              <c:strCache>
                <c:ptCount val="1"/>
                <c:pt idx="0">
                  <c:v>merge and insertion</c:v>
                </c:pt>
              </c:strCache>
            </c:strRef>
          </c:tx>
          <c:marker>
            <c:symbol val="none"/>
          </c:marker>
          <c:cat>
            <c:numRef>
              <c:f>'[Graph .xlsx]Sheet1'!$A$2:$A$10</c:f>
              <c:numCache>
                <c:formatCode>General</c:formatCode>
                <c:ptCount val="9"/>
                <c:pt idx="0">
                  <c:v>8.0</c:v>
                </c:pt>
                <c:pt idx="1">
                  <c:v>9.0</c:v>
                </c:pt>
                <c:pt idx="2">
                  <c:v>10.0</c:v>
                </c:pt>
                <c:pt idx="3">
                  <c:v>11.0</c:v>
                </c:pt>
                <c:pt idx="4">
                  <c:v>12.0</c:v>
                </c:pt>
                <c:pt idx="5">
                  <c:v>13.0</c:v>
                </c:pt>
                <c:pt idx="6">
                  <c:v>14.0</c:v>
                </c:pt>
                <c:pt idx="7">
                  <c:v>15.0</c:v>
                </c:pt>
                <c:pt idx="8">
                  <c:v>16.0</c:v>
                </c:pt>
              </c:numCache>
            </c:numRef>
          </c:cat>
          <c:val>
            <c:numRef>
              <c:f>'[Graph .xlsx]Sheet1'!$C$2:$C$10</c:f>
              <c:numCache>
                <c:formatCode>General</c:formatCode>
                <c:ptCount val="9"/>
                <c:pt idx="0">
                  <c:v>795.0</c:v>
                </c:pt>
                <c:pt idx="1">
                  <c:v>828.0</c:v>
                </c:pt>
                <c:pt idx="2">
                  <c:v>739.0</c:v>
                </c:pt>
                <c:pt idx="3">
                  <c:v>726.0</c:v>
                </c:pt>
                <c:pt idx="4">
                  <c:v>755.0</c:v>
                </c:pt>
                <c:pt idx="5">
                  <c:v>697.0</c:v>
                </c:pt>
                <c:pt idx="6">
                  <c:v>785.0</c:v>
                </c:pt>
                <c:pt idx="7">
                  <c:v>672.0</c:v>
                </c:pt>
                <c:pt idx="8">
                  <c:v>690.0</c:v>
                </c:pt>
              </c:numCache>
            </c:numRef>
          </c:val>
          <c:smooth val="0"/>
        </c:ser>
        <c:ser>
          <c:idx val="2"/>
          <c:order val="2"/>
          <c:tx>
            <c:strRef>
              <c:f>'[Graph .xlsx]Sheet1'!$D$1</c:f>
              <c:strCache>
                <c:ptCount val="1"/>
                <c:pt idx="0">
                  <c:v>quick and insertion</c:v>
                </c:pt>
              </c:strCache>
            </c:strRef>
          </c:tx>
          <c:marker>
            <c:symbol val="none"/>
          </c:marker>
          <c:cat>
            <c:numRef>
              <c:f>'[Graph .xlsx]Sheet1'!$A$2:$A$10</c:f>
              <c:numCache>
                <c:formatCode>General</c:formatCode>
                <c:ptCount val="9"/>
                <c:pt idx="0">
                  <c:v>8.0</c:v>
                </c:pt>
                <c:pt idx="1">
                  <c:v>9.0</c:v>
                </c:pt>
                <c:pt idx="2">
                  <c:v>10.0</c:v>
                </c:pt>
                <c:pt idx="3">
                  <c:v>11.0</c:v>
                </c:pt>
                <c:pt idx="4">
                  <c:v>12.0</c:v>
                </c:pt>
                <c:pt idx="5">
                  <c:v>13.0</c:v>
                </c:pt>
                <c:pt idx="6">
                  <c:v>14.0</c:v>
                </c:pt>
                <c:pt idx="7">
                  <c:v>15.0</c:v>
                </c:pt>
                <c:pt idx="8">
                  <c:v>16.0</c:v>
                </c:pt>
              </c:numCache>
            </c:numRef>
          </c:cat>
          <c:val>
            <c:numRef>
              <c:f>'[Graph .xlsx]Sheet1'!$D$2:$D$10</c:f>
              <c:numCache>
                <c:formatCode>General</c:formatCode>
                <c:ptCount val="9"/>
                <c:pt idx="0">
                  <c:v>294.0</c:v>
                </c:pt>
                <c:pt idx="1">
                  <c:v>256.0</c:v>
                </c:pt>
                <c:pt idx="2">
                  <c:v>196.0</c:v>
                </c:pt>
                <c:pt idx="3">
                  <c:v>252.0</c:v>
                </c:pt>
                <c:pt idx="4">
                  <c:v>205.0</c:v>
                </c:pt>
                <c:pt idx="5">
                  <c:v>222.0</c:v>
                </c:pt>
                <c:pt idx="6">
                  <c:v>257.0</c:v>
                </c:pt>
                <c:pt idx="7">
                  <c:v>220.0</c:v>
                </c:pt>
                <c:pt idx="8">
                  <c:v>228.0</c:v>
                </c:pt>
              </c:numCache>
            </c:numRef>
          </c:val>
          <c:smooth val="0"/>
        </c:ser>
        <c:ser>
          <c:idx val="3"/>
          <c:order val="3"/>
          <c:tx>
            <c:strRef>
              <c:f>'[Graph .xlsx]Sheet1'!$E$1</c:f>
              <c:strCache>
                <c:ptCount val="1"/>
                <c:pt idx="0">
                  <c:v>merge and bubble</c:v>
                </c:pt>
              </c:strCache>
            </c:strRef>
          </c:tx>
          <c:marker>
            <c:symbol val="none"/>
          </c:marker>
          <c:cat>
            <c:numRef>
              <c:f>'[Graph .xlsx]Sheet1'!$A$2:$A$10</c:f>
              <c:numCache>
                <c:formatCode>General</c:formatCode>
                <c:ptCount val="9"/>
                <c:pt idx="0">
                  <c:v>8.0</c:v>
                </c:pt>
                <c:pt idx="1">
                  <c:v>9.0</c:v>
                </c:pt>
                <c:pt idx="2">
                  <c:v>10.0</c:v>
                </c:pt>
                <c:pt idx="3">
                  <c:v>11.0</c:v>
                </c:pt>
                <c:pt idx="4">
                  <c:v>12.0</c:v>
                </c:pt>
                <c:pt idx="5">
                  <c:v>13.0</c:v>
                </c:pt>
                <c:pt idx="6">
                  <c:v>14.0</c:v>
                </c:pt>
                <c:pt idx="7">
                  <c:v>15.0</c:v>
                </c:pt>
                <c:pt idx="8">
                  <c:v>16.0</c:v>
                </c:pt>
              </c:numCache>
            </c:numRef>
          </c:cat>
          <c:val>
            <c:numRef>
              <c:f>'[Graph .xlsx]Sheet1'!$E$2:$E$10</c:f>
              <c:numCache>
                <c:formatCode>General</c:formatCode>
                <c:ptCount val="9"/>
                <c:pt idx="0">
                  <c:v>296.0</c:v>
                </c:pt>
                <c:pt idx="1">
                  <c:v>338.0</c:v>
                </c:pt>
                <c:pt idx="2">
                  <c:v>340.0</c:v>
                </c:pt>
                <c:pt idx="3">
                  <c:v>397.0</c:v>
                </c:pt>
                <c:pt idx="4">
                  <c:v>581.0</c:v>
                </c:pt>
                <c:pt idx="5">
                  <c:v>638.0</c:v>
                </c:pt>
                <c:pt idx="6">
                  <c:v>545.0</c:v>
                </c:pt>
                <c:pt idx="7">
                  <c:v>532.0</c:v>
                </c:pt>
                <c:pt idx="8">
                  <c:v>556.0</c:v>
                </c:pt>
              </c:numCache>
            </c:numRef>
          </c:val>
          <c:smooth val="0"/>
        </c:ser>
        <c:dLbls>
          <c:showLegendKey val="0"/>
          <c:showVal val="0"/>
          <c:showCatName val="0"/>
          <c:showSerName val="0"/>
          <c:showPercent val="0"/>
          <c:showBubbleSize val="0"/>
        </c:dLbls>
        <c:marker val="1"/>
        <c:smooth val="0"/>
        <c:axId val="2084739400"/>
        <c:axId val="2082359992"/>
      </c:lineChart>
      <c:catAx>
        <c:axId val="2084739400"/>
        <c:scaling>
          <c:orientation val="minMax"/>
        </c:scaling>
        <c:delete val="0"/>
        <c:axPos val="b"/>
        <c:title>
          <c:tx>
            <c:rich>
              <a:bodyPr/>
              <a:lstStyle/>
              <a:p>
                <a:pPr>
                  <a:defRPr/>
                </a:pPr>
                <a:r>
                  <a:rPr lang="en-US"/>
                  <a:t>Threshold</a:t>
                </a:r>
                <a:r>
                  <a:rPr lang="en-US" baseline="0"/>
                  <a:t> value</a:t>
                </a:r>
                <a:endParaRPr lang="en-US"/>
              </a:p>
            </c:rich>
          </c:tx>
          <c:layout/>
          <c:overlay val="0"/>
        </c:title>
        <c:numFmt formatCode="General" sourceLinked="1"/>
        <c:majorTickMark val="out"/>
        <c:minorTickMark val="none"/>
        <c:tickLblPos val="nextTo"/>
        <c:crossAx val="2082359992"/>
        <c:crosses val="autoZero"/>
        <c:auto val="1"/>
        <c:lblAlgn val="ctr"/>
        <c:lblOffset val="100"/>
        <c:noMultiLvlLbl val="0"/>
      </c:catAx>
      <c:valAx>
        <c:axId val="2082359992"/>
        <c:scaling>
          <c:orientation val="minMax"/>
        </c:scaling>
        <c:delete val="0"/>
        <c:axPos val="l"/>
        <c:majorGridlines/>
        <c:title>
          <c:tx>
            <c:rich>
              <a:bodyPr rot="-5400000" vert="horz"/>
              <a:lstStyle/>
              <a:p>
                <a:pPr>
                  <a:defRPr/>
                </a:pPr>
                <a:r>
                  <a:rPr lang="en-US"/>
                  <a:t>Comparisons</a:t>
                </a:r>
              </a:p>
            </c:rich>
          </c:tx>
          <c:layout/>
          <c:overlay val="0"/>
        </c:title>
        <c:numFmt formatCode="General" sourceLinked="1"/>
        <c:majorTickMark val="out"/>
        <c:minorTickMark val="none"/>
        <c:tickLblPos val="nextTo"/>
        <c:crossAx val="208473940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Alex Davis</cp:lastModifiedBy>
  <cp:revision>2</cp:revision>
  <dcterms:created xsi:type="dcterms:W3CDTF">2014-07-21T20:06:00Z</dcterms:created>
  <dcterms:modified xsi:type="dcterms:W3CDTF">2014-07-21T20:06:00Z</dcterms:modified>
</cp:coreProperties>
</file>