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Toekomstvisie 2035.pdf</w:t>
      </w:r>
    </w:p>
    <w:p/>
    <w:p>
      <w:r>
        <w:t>De Toekomstvisie 2035 van de Gemeente Bergen op Zoom richt zich op duurzaamheid, het bevorderen van de leefbaarheid en welzijn van haar inwoners, en het stimuleren van de economische topsectoren. Er wordt samengewerkt met buurgemeenten en andere Sterke Steden in West-Brabant. Er worden geen specifieke maatregelen genoemd die direct verband houden met luchtkwaliteit en er is geen categorie van toepassing.</w:t>
      </w:r>
    </w:p>
    <w:p/>
    <w:p>
      <w:r>
        <w:t>Coalitieakkoord 2022.pdf</w:t>
      </w:r>
    </w:p>
    <w:p/>
    <w:p>
      <w:r>
        <w:t>De gemeente Oss heeft een coalitieakkoord gepresenteerd met als belangrijk speerpunt verduurzaming van economie en maatschappij. Er wordt ingezet op klimaatadaptatie en energietransitie, waarbij de gemeente samenwerkt met partners en de regio. Er wordt gestreefd naar een dienstverlenende organisatie die openstaat voor initiatieven en innovatie, en meer strategisch opereert in netwerken. De gemeenteraad zal meer bezig zijn met hoofdlijnen en strategie en vroegtijdig in positie worden gezet bij belangrijke besluitvormingsprocessen. Het coalitieakkoord gaat niet specifiek over luchtkwaliteit, maar er worden wel verschillende maatregelen genoemd om de luchtkwaliteit te verbeteren, zoals het verplichten van zonnepanelen op bedrijfsdaken en het verminderen van parkeernormen. Er wordt ook gewerkt aan het verbeteren van de mobiliteit en het aardgasvrij maken van woningen en bedrijven. In het begrotingsdocument worden verschillende maatregelen voorgesteld, waaronder het minimaliseren van lokale lasten en het vragen van bijdragen aan ontwikkelende partijen voor ruimtelijke opgaves.</w:t>
      </w:r>
    </w:p>
    <w:p/>
    <w:p>
      <w:r>
        <w:t>PDMS-#5062589-v1-RIB__voortgang_Schone_Lucht_Akkoord_jan_2023_.pdf</w:t>
      </w:r>
    </w:p>
    <w:p/>
    <w:p>
      <w:r>
        <w:t>De raadsinformatiebrief van Gemeente Oss gaat over de voortgang van het uitvoeringsprogramma Schone Lucht Akkoord, waarbij het doel is om de luchtkwaliteit te verbeteren en 50% gezondheidswinst te behalen. Maatregelen worden genomen op het gebied van mobiliteit, industrie en landbouw, zoals het vervangen van het wagenpark door elektrische voertuigen en het gebruik van schonere mobiele werktuigen. Er wordt voorlichting gegeven over houtstook en samengewerkt met andere gemeenten om de luchtkwaliteit te meten.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