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coalitieakkoord-reusel-de-mierden-2022-2026.docx.pdf</w:t>
      </w:r>
    </w:p>
    <w:p/>
    <w:p>
      <w:r>
        <w:t>In het coalitieakkoord van Reusel-De Mierden worden maatregelen genomen om de leefbaarheid van de kernen te verbeteren en een vitale samenleving te creëren, zoals het weren van zwaar vracht- en landbouwverkeer uit de kernen, het vormen van fietsstraten en het betrekken van inwoners bij het bestuur van de gemeente. Er worden geen specifieke maatregelen genoemd met betrekking tot luchtkwaliteit, maar enkele algemene maatregelen kunnen indirect bijdragen aan een betere luchtkwaliteit, zoals het stimuleren van woningbouw in de buurt van werklocaties en het verhogen van het aantal sociale huurwoningen.</w:t>
      </w:r>
    </w:p>
    <w:p/>
    <w:p>
      <w:r>
        <w:t>toekomstvisie-reusel-de-mierden-gezamenlijk-grenzeloos-en-groen.pdf</w:t>
      </w:r>
    </w:p>
    <w:p/>
    <w:p>
      <w:r>
        <w:t>De visie van de Gemeente Reusel-De Mierden voor 2030 heeft als slogan "Gezamenlijk, Grenzeloos en Groen" en richt zich op het behouden van het groene karakter van de gemeente en het verbinden van dorpsgemeenschappen. Er wordt ingezet op duurzaamheid en het tegengaan van ongebreidelde groei van intensieve veeteelt. De gemeente stuurt op het aantrekken en behouden van jonge inwoners en het behouden van cultuurhistorische waarden bij nieuwbouw. Er wordt samengewerkt met verenigingen, zorgorganisaties en vrijwilligers voor een inclusieve samenleving waarin ouderen en gehandicapten goede toegang hebben tot voorzieningen. De visie bevat twaalf ambities, waaronder het stimuleren van fietsen, het herbestemmen van bestaande gebouwen, het creëren van een zorgenclave voor ouderen en het oprichten van zorgcoöperaties. Mobiliteit wordt niet specifiek genoemd als ambitie, maar het verbeteren van de bereikbaarheid ten opzichte van België wordt wel genoemd als maatregel. Er worden maatregelen genoemd zoals de aanleg van glasvezel, betere openbaarvervoersverbindingen en het creëren van een grensoverschrijdende EU-regio de Kempen. Relevant voor luchtkwaliteit zijn de ambities op het gebied van duurzaamheid en het behoud van het landelijke karakter van de gemeente. Er wordt gestreefd naar een duurzame gemeente in 2030, waarbij het principe van 'cradle-to-cradle' wordt toegepast en er wordt ingezet op decentrale energieopwekking in het buitengebied. Het landelijke karakter van de gemeente moet behouden blijven en er moet ruimte zijn voor natuur, recreatie en kleinschalige agrarische activiteiten. Schaalvergroting in de veeteelt wordt niet gezien als duurzame optie en bedrijven moeten passen in het landschap. Dit kan bijvoorbeeld door het omzomen van gebouwen met bomen.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