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 Palma Earthquakes Mechanisms</w:t>
      </w:r>
    </w:p>
    <w:p>
      <w:pPr>
        <w:pStyle w:val="Author"/>
      </w:pPr>
      <w:r>
        <w:t xml:space="preserve">Steve Purves</w:t>
      </w:r>
    </w:p>
    <w:p>
      <w:pPr>
        <w:pStyle w:val="Author"/>
      </w:pPr>
      <w:r>
        <w:t xml:space="preserve">Rowan Cockett</w:t>
      </w:r>
    </w:p>
    <w:p>
      <w:pPr>
        <w:pStyle w:val="Author"/>
      </w:pPr>
      <w:r>
        <w:t xml:space="preserve">Dummy E. Author</w:t>
      </w:r>
    </w:p>
    <w:p>
      <w:pPr>
        <w:pStyle w:val="Date"/>
      </w:pPr>
      <w:r>
        <w:t xml:space="preserve">2026-08-28</w:t>
      </w:r>
    </w:p>
    <w:p>
      <w:pPr>
        <w:pStyle w:val="AbstractTitle"/>
      </w:pPr>
      <w:r>
        <w:t xml:space="preserve">Abstract</w:t>
      </w:r>
    </w:p>
    <w:p>
      <w:pPr>
        <w:pStyle w:val="Abstract"/>
      </w:pPr>
      <w:r>
        <w:t xml:space="preserve">In September 2021, a significant jump in seismic activity on the island of La Palma (Canary Islands, Spain) signaled the start of a volcanic crisis that still continues at the time of writing. Earthquake data is continually collected and published by the Instituto Geográphico Nacional (IGN). We aimed at describing alternative methods to describe the probability of a new eruption considering historical data.</w:t>
      </w:r>
    </w:p>
    <w:bookmarkStart w:id="24" w:name="introduction"/>
    <w:p>
      <w:pPr>
        <w:pStyle w:val="Heading2"/>
      </w:pPr>
      <w:r>
        <w:t xml:space="preserve">1 Introduction</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13" w:name="fig-timeline"/>
          <w:p>
            <w:pPr>
              <w:pStyle w:val="Compact"/>
              <w:jc w:val="center"/>
            </w:pPr>
            <w:r>
              <w:drawing>
                <wp:inline>
                  <wp:extent cx="4429125" cy="1095375"/>
                  <wp:effectExtent b="0" l="0" r="0" t="0"/>
                  <wp:docPr descr="" title="" id="11" name="Picture"/>
                  <a:graphic>
                    <a:graphicData uri="http://schemas.openxmlformats.org/drawingml/2006/picture">
                      <pic:pic>
                        <pic:nvPicPr>
                          <pic:cNvPr descr="index_files/figure-docx/fig-timeline-output-1.png" id="12" name="Picture"/>
                          <pic:cNvPicPr>
                            <a:picLocks noChangeArrowheads="1" noChangeAspect="1"/>
                          </pic:cNvPicPr>
                        </pic:nvPicPr>
                        <pic:blipFill>
                          <a:blip r:embed="rId10"/>
                          <a:stretch>
                            <a:fillRect/>
                          </a:stretch>
                        </pic:blipFill>
                        <pic:spPr bwMode="auto">
                          <a:xfrm>
                            <a:off x="0" y="0"/>
                            <a:ext cx="4429125" cy="1095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Timeline of recent earthquakes on La Palma</w:t>
            </w:r>
          </w:p>
          <w:bookmarkEnd w:id="13"/>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Based on data up to and including 2021, eruptions on La Palma happen every 79.8 years on average.</w:t>
      </w:r>
    </w:p>
    <w:p>
      <w:pPr>
        <w:pStyle w:val="BodyText"/>
      </w:pPr>
      <w:r>
        <w:t xml:space="preserve">Studies of the magma systems feeding the volcano, such as</w:t>
      </w:r>
      <w:r>
        <w:t xml:space="preserve"> </w:t>
      </w:r>
      <w:r>
        <w:t xml:space="preserve">Marrero et al. (2019)</w:t>
      </w:r>
      <w:r>
        <w:t xml:space="preserve">, have proposed that there are two main magma reservoirs feeding the Cumbre Vieja volcano; one in the mantle (30-40km depth) which charges and in turn feeds a shallower crustal reservoir (10-20km depth).</w:t>
      </w:r>
    </w:p>
    <w:p>
      <w:pPr>
        <w:pStyle w:val="BodyText"/>
      </w:pPr>
      <w:r>
        <w:t xml:space="preserve">Eight eruptions have been recorded since the late 1400s (</w:t>
      </w:r>
      <w:hyperlink w:anchor="fig-timeline">
        <w:r>
          <w:rPr>
            <w:rStyle w:val="Hyperlink"/>
          </w:rPr>
          <w:t xml:space="preserve">Figure 1</w:t>
        </w:r>
      </w:hyperlink>
      <w:r>
        <w:t xml:space="preserve">).</w:t>
      </w:r>
    </w:p>
    <w:p>
      <w:pPr>
        <w:pStyle w:val="BodyText"/>
      </w:pPr>
      <w:r>
        <w:t xml:space="preserve">Data and methods are discussed in</w:t>
      </w:r>
      <w:r>
        <w:t xml:space="preserve"> </w:t>
      </w:r>
      <w:hyperlink w:anchor="sec-data-methods">
        <w:r>
          <w:rPr>
            <w:rStyle w:val="Hyperlink"/>
          </w:rPr>
          <w:t xml:space="preserve">Section 2</w:t>
        </w:r>
      </w:hyperlink>
      <w:r>
        <w:t xml:space="preserve">.</w:t>
      </w:r>
    </w:p>
    <w:p>
      <w:pPr>
        <w:pStyle w:val="BodyText"/>
      </w:pPr>
      <w:r>
        <w:t xml:space="preserve">Let</w:t>
      </w:r>
      <w:r>
        <w:t xml:space="preserve"> </w:t>
      </w:r>
      <m:oMath>
        <m:r>
          <m:t>x</m:t>
        </m:r>
      </m:oMath>
      <w:r>
        <w:t xml:space="preserve"> </w:t>
      </w:r>
      <w:r>
        <w:t xml:space="preserve">denote the number of eruptions in a year. Then,</w:t>
      </w:r>
      <w:r>
        <w:t xml:space="preserve"> </w:t>
      </w:r>
      <m:oMath>
        <m:r>
          <m:t>x</m:t>
        </m:r>
      </m:oMath>
      <w:r>
        <w:t xml:space="preserve"> </w:t>
      </w:r>
      <w:r>
        <w:t xml:space="preserve">can be modeled by a Poisson distribution</w:t>
      </w:r>
    </w:p>
    <w:p>
      <w:pPr>
        <w:pStyle w:val="BodyText"/>
      </w:pPr>
      <w:bookmarkStart w:id="14" w:name="eq-poisson"/>
      <m:oMathPara>
        <m:oMathParaPr>
          <m:jc m:val="center"/>
        </m:oMathParaPr>
        <m:oMath>
          <m:r>
            <m:t>p</m:t>
          </m:r>
          <m:r>
            <m:rPr>
              <m:sty m:val="p"/>
            </m:rPr>
            <m:t>(</m:t>
          </m:r>
          <m:r>
            <m:t>x</m:t>
          </m:r>
          <m:r>
            <m:rPr>
              <m:sty m:val="p"/>
            </m:rPr>
            <m:t>)</m:t>
          </m:r>
          <m:r>
            <m:rPr>
              <m:sty m:val="p"/>
            </m:rPr>
            <m:t>=</m:t>
          </m:r>
          <m:f>
            <m:fPr>
              <m:type m:val="bar"/>
            </m:fPr>
            <m:num>
              <m:sSup>
                <m:e>
                  <m:r>
                    <m:t>e</m:t>
                  </m:r>
                </m:e>
                <m:sup>
                  <m:r>
                    <m:rPr>
                      <m:sty m:val="p"/>
                    </m:rPr>
                    <m:t>−</m:t>
                  </m:r>
                  <m:r>
                    <m:t>λ</m:t>
                  </m:r>
                </m:sup>
              </m:sSup>
              <m:sSup>
                <m:e>
                  <m:r>
                    <m:t>λ</m:t>
                  </m:r>
                </m:e>
                <m:sup>
                  <m:r>
                    <m:t>x</m:t>
                  </m:r>
                </m:sup>
              </m:sSup>
            </m:num>
            <m:den>
              <m:r>
                <m:t>x</m:t>
              </m:r>
              <m:r>
                <m:rPr>
                  <m:sty m:val="p"/>
                </m:rPr>
                <m:t>!</m:t>
              </m:r>
            </m:den>
          </m:f>
          <m:r>
            <m:t>  </m:t>
          </m:r>
          <m:r>
            <m:rPr>
              <m:sty m:val="p"/>
            </m:rPr>
            <m:t>(</m:t>
          </m:r>
          <m:r>
            <m:t>1</m:t>
          </m:r>
          <m:r>
            <m:rPr>
              <m:sty m:val="p"/>
            </m:rPr>
            <m:t>)</m:t>
          </m:r>
        </m:oMath>
      </m:oMathPara>
      <w:bookmarkEnd w:id="14"/>
    </w:p>
    <w:p>
      <w:pPr>
        <w:pStyle w:val="FirstParagraph"/>
      </w:pPr>
      <w:r>
        <w:t xml:space="preserve">where</w:t>
      </w:r>
      <w:r>
        <w:t xml:space="preserve"> </w:t>
      </w:r>
      <m:oMath>
        <m:r>
          <m:t>λ</m:t>
        </m:r>
      </m:oMath>
      <w:r>
        <w:t xml:space="preserve"> </w:t>
      </w:r>
      <w:r>
        <w:t xml:space="preserve">is the rate of eruptions per year. Using</w:t>
      </w:r>
      <w:r>
        <w:t xml:space="preserve"> </w:t>
      </w:r>
      <w:hyperlink w:anchor="eq-poisson">
        <w:r>
          <w:rPr>
            <w:rStyle w:val="Hyperlink"/>
          </w:rPr>
          <w:t xml:space="preserve">Equation 1</w:t>
        </w:r>
      </w:hyperlink>
      <w:r>
        <w:t xml:space="preserve">, the probability of an eruption in the next</w:t>
      </w:r>
      <w:r>
        <w:t xml:space="preserve"> </w:t>
      </w:r>
      <m:oMath>
        <m:r>
          <m:t>t</m:t>
        </m:r>
      </m:oMath>
      <w:r>
        <w:t xml:space="preserve"> </w:t>
      </w:r>
      <w:r>
        <w:t xml:space="preserve">years can be calculated.</w:t>
      </w:r>
    </w:p>
    <w:tbl>
      <w:tblPr>
        <w:tblStyle w:val="Table"/>
        <w:tblW w:type="pct" w:w="5000"/>
        <w:tblLayout w:type="fixed"/>
        <w:tblLook w:firstRow="0" w:lastRow="0" w:firstColumn="0" w:lastColumn="0" w:noHBand="0" w:noVBand="0" w:val="0000"/>
      </w:tblPr>
      <w:tblGrid>
        <w:gridCol w:w="7920"/>
      </w:tblGrid>
      <w:tr>
        <w:tc>
          <w:tcPr/>
          <w:bookmarkStart w:id="15" w:name="tbl-history"/>
          <w:p>
            <w:pPr>
              <w:jc w:val="center"/>
            </w:pPr>
            <w:pPr>
              <w:jc w:val="left"/>
              <w:spacing w:before="200"/>
              <w:pStyle w:val="ImageCaption"/>
            </w:pPr>
            <w:r>
              <w:t xml:space="preserve">Table 1: Recent historic eruptions on La Palma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Name</w:t>
                  </w:r>
                </w:p>
              </w:tc>
              <w:tc>
                <w:tcPr/>
                <w:p>
                  <w:pPr>
                    <w:pStyle w:val="Compact"/>
                    <w:jc w:val="center"/>
                  </w:pPr>
                  <w:r>
                    <w:t xml:space="preserve">Year</w:t>
                  </w:r>
                </w:p>
              </w:tc>
            </w:tr>
            <w:tr>
              <w:tc>
                <w:tcPr/>
                <w:p>
                  <w:pPr>
                    <w:pStyle w:val="Compact"/>
                    <w:jc w:val="center"/>
                  </w:pPr>
                  <w:r>
                    <w:t xml:space="preserve">Current</w:t>
                  </w:r>
                </w:p>
              </w:tc>
              <w:tc>
                <w:tcPr/>
                <w:p>
                  <w:pPr>
                    <w:pStyle w:val="Compact"/>
                    <w:jc w:val="center"/>
                  </w:pPr>
                  <w:r>
                    <w:t xml:space="preserve">2021</w:t>
                  </w:r>
                </w:p>
              </w:tc>
            </w:tr>
            <w:tr>
              <w:tc>
                <w:tcPr/>
                <w:p>
                  <w:pPr>
                    <w:pStyle w:val="Compact"/>
                    <w:jc w:val="center"/>
                  </w:pPr>
                  <w:r>
                    <w:t xml:space="preserve">Teneguía</w:t>
                  </w:r>
                </w:p>
              </w:tc>
              <w:tc>
                <w:tcPr/>
                <w:p>
                  <w:pPr>
                    <w:pStyle w:val="Compact"/>
                    <w:jc w:val="center"/>
                  </w:pPr>
                  <w:r>
                    <w:t xml:space="preserve">1971</w:t>
                  </w:r>
                </w:p>
              </w:tc>
            </w:tr>
            <w:tr>
              <w:tc>
                <w:tcPr/>
                <w:p>
                  <w:pPr>
                    <w:pStyle w:val="Compact"/>
                    <w:jc w:val="center"/>
                  </w:pPr>
                  <w:r>
                    <w:t xml:space="preserve">Nambroque</w:t>
                  </w:r>
                </w:p>
              </w:tc>
              <w:tc>
                <w:tcPr/>
                <w:p>
                  <w:pPr>
                    <w:pStyle w:val="Compact"/>
                    <w:jc w:val="center"/>
                  </w:pPr>
                  <w:r>
                    <w:t xml:space="preserve">1949</w:t>
                  </w:r>
                </w:p>
              </w:tc>
            </w:tr>
            <w:tr>
              <w:tc>
                <w:tcPr/>
                <w:p>
                  <w:pPr>
                    <w:pStyle w:val="Compact"/>
                    <w:jc w:val="center"/>
                  </w:pPr>
                  <w:r>
                    <w:t xml:space="preserve">El Charco</w:t>
                  </w:r>
                </w:p>
              </w:tc>
              <w:tc>
                <w:tcPr/>
                <w:p>
                  <w:pPr>
                    <w:pStyle w:val="Compact"/>
                    <w:jc w:val="center"/>
                  </w:pPr>
                  <w:r>
                    <w:t xml:space="preserve">1712</w:t>
                  </w:r>
                </w:p>
              </w:tc>
            </w:tr>
            <w:tr>
              <w:tc>
                <w:tcPr/>
                <w:p>
                  <w:pPr>
                    <w:pStyle w:val="Compact"/>
                    <w:jc w:val="center"/>
                  </w:pPr>
                  <w:r>
                    <w:t xml:space="preserve">Volcán San Antonio</w:t>
                  </w:r>
                </w:p>
              </w:tc>
              <w:tc>
                <w:tcPr/>
                <w:p>
                  <w:pPr>
                    <w:pStyle w:val="Compact"/>
                    <w:jc w:val="center"/>
                  </w:pPr>
                  <w:r>
                    <w:t xml:space="preserve">1677</w:t>
                  </w:r>
                </w:p>
              </w:tc>
            </w:tr>
            <w:tr>
              <w:tc>
                <w:tcPr/>
                <w:p>
                  <w:pPr>
                    <w:pStyle w:val="Compact"/>
                    <w:jc w:val="center"/>
                  </w:pPr>
                  <w:r>
                    <w:t xml:space="preserve">Volcán San Martin</w:t>
                  </w:r>
                </w:p>
              </w:tc>
              <w:tc>
                <w:tcPr/>
                <w:p>
                  <w:pPr>
                    <w:pStyle w:val="Compact"/>
                    <w:jc w:val="center"/>
                  </w:pPr>
                  <w:r>
                    <w:t xml:space="preserve">1646</w:t>
                  </w:r>
                </w:p>
              </w:tc>
            </w:tr>
            <w:tr>
              <w:tc>
                <w:tcPr/>
                <w:p>
                  <w:pPr>
                    <w:pStyle w:val="Compact"/>
                    <w:jc w:val="center"/>
                  </w:pPr>
                  <w:r>
                    <w:t xml:space="preserve">Tajuya near El Paso</w:t>
                  </w:r>
                </w:p>
              </w:tc>
              <w:tc>
                <w:tcPr/>
                <w:p>
                  <w:pPr>
                    <w:pStyle w:val="Compact"/>
                    <w:jc w:val="center"/>
                  </w:pPr>
                  <w:r>
                    <w:t xml:space="preserve">1585</w:t>
                  </w:r>
                </w:p>
              </w:tc>
            </w:tr>
            <w:tr>
              <w:tc>
                <w:tcPr/>
                <w:p>
                  <w:pPr>
                    <w:pStyle w:val="Compact"/>
                    <w:jc w:val="center"/>
                  </w:pPr>
                  <w:r>
                    <w:t xml:space="preserve">Montaña Quemada</w:t>
                  </w:r>
                </w:p>
              </w:tc>
              <w:tc>
                <w:tcPr/>
                <w:p>
                  <w:pPr>
                    <w:pStyle w:val="Compact"/>
                    <w:jc w:val="center"/>
                  </w:pPr>
                  <w:r>
                    <w:t xml:space="preserve">1492</w:t>
                  </w:r>
                </w:p>
              </w:tc>
            </w:tr>
          </w:tbl>
          <w:bookmarkEnd w:id="15"/>
          <w:p/>
        </w:tc>
      </w:tr>
    </w:tbl>
    <w:p>
      <w:pPr>
        <w:pStyle w:val="BodyText"/>
      </w:pPr>
      <w:hyperlink w:anchor="tbl-history">
        <w:r>
          <w:rPr>
            <w:rStyle w:val="Hyperlink"/>
          </w:rPr>
          <w:t xml:space="preserve">Table 1</w:t>
        </w:r>
      </w:hyperlink>
      <w:r>
        <w:t xml:space="preserve"> </w:t>
      </w:r>
      <w:r>
        <w:t xml:space="preserve">summarises the eruptions recorded since the colonization of the islands by Europeans in the late 1400s.</w:t>
      </w:r>
    </w:p>
    <w:tbl>
      <w:tblPr>
        <w:tblStyle w:val="Table"/>
        <w:tblW w:type="pct" w:w="5000"/>
        <w:tblLayout w:type="fixed"/>
        <w:tblLook w:firstRow="0" w:lastRow="0" w:firstColumn="0" w:lastColumn="0" w:noHBand="0" w:noVBand="0" w:val="0000"/>
      </w:tblPr>
      <w:tblGrid>
        <w:gridCol w:w="7920"/>
      </w:tblGrid>
      <w:tr>
        <w:tc>
          <w:tcPr/>
          <w:bookmarkStart w:id="19" w:name="fig-map"/>
          <w:p>
            <w:pPr>
              <w:pStyle w:val="Compact"/>
              <w:jc w:val="center"/>
            </w:pPr>
            <w:r>
              <w:drawing>
                <wp:inline>
                  <wp:extent cx="5334000" cy="2369740"/>
                  <wp:effectExtent b="0" l="0" r="0" t="0"/>
                  <wp:docPr descr="" title="" id="17" name="Picture"/>
                  <a:graphic>
                    <a:graphicData uri="http://schemas.openxmlformats.org/drawingml/2006/picture">
                      <pic:pic>
                        <pic:nvPicPr>
                          <pic:cNvPr descr="images/la-palma-map.png" id="18" name="Picture"/>
                          <pic:cNvPicPr>
                            <a:picLocks noChangeArrowheads="1" noChangeAspect="1"/>
                          </pic:cNvPicPr>
                        </pic:nvPicPr>
                        <pic:blipFill>
                          <a:blip r:embed="rId16"/>
                          <a:stretch>
                            <a:fillRect/>
                          </a:stretch>
                        </pic:blipFill>
                        <pic:spPr bwMode="auto">
                          <a:xfrm>
                            <a:off x="0" y="0"/>
                            <a:ext cx="5334000" cy="236974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Map of La Palma</w:t>
            </w:r>
          </w:p>
          <w:bookmarkEnd w:id="19"/>
        </w:tc>
      </w:tr>
    </w:tbl>
    <w:p>
      <w:pPr>
        <w:pStyle w:val="BodyText"/>
      </w:pPr>
      <w:r>
        <w:t xml:space="preserve">La Palma is one of the west most islands in the Volcanic Archipelago of the Canary Islands (</w:t>
      </w:r>
      <w:hyperlink w:anchor="fig-map">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spatial-plot"/>
          <w:p>
            <w:pPr>
              <w:pStyle w:val="Compact"/>
              <w:jc w:val="center"/>
            </w:pPr>
            <w:r>
              <w:drawing>
                <wp:inline>
                  <wp:extent cx="5334000" cy="4647618"/>
                  <wp:effectExtent b="0" l="0" r="0" t="0"/>
                  <wp:docPr descr="" title="" id="21" name="Picture"/>
                  <a:graphic>
                    <a:graphicData uri="http://schemas.openxmlformats.org/drawingml/2006/picture">
                      <pic:pic>
                        <pic:nvPicPr>
                          <pic:cNvPr descr="index_files/figure-docx/notebooks-data-screening-fig-spatial-plot-output-1.png" id="22" name="Picture"/>
                          <pic:cNvPicPr>
                            <a:picLocks noChangeArrowheads="1" noChangeAspect="1"/>
                          </pic:cNvPicPr>
                        </pic:nvPicPr>
                        <pic:blipFill>
                          <a:blip r:embed="rId20"/>
                          <a:stretch>
                            <a:fillRect/>
                          </a:stretch>
                        </pic:blipFill>
                        <pic:spPr bwMode="auto">
                          <a:xfrm>
                            <a:off x="0" y="0"/>
                            <a:ext cx="5334000" cy="464761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Earthquakes on La Palma since 2017.</w:t>
            </w:r>
          </w:p>
          <w:bookmarkEnd w:id="23"/>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hyperlink w:anchor="fig-spatial-plot">
        <w:r>
          <w:rPr>
            <w:rStyle w:val="Hyperlink"/>
          </w:rPr>
          <w:t xml:space="preserve">Figure 3</w:t>
        </w:r>
      </w:hyperlink>
      <w:r>
        <w:t xml:space="preserve"> </w:t>
      </w:r>
      <w:r>
        <w:t xml:space="preserve">shows the location of recent Earthquakes on La Palma.</w:t>
      </w:r>
    </w:p>
    <w:bookmarkEnd w:id="24"/>
    <w:bookmarkStart w:id="25" w:name="sec-data-methods"/>
    <w:p>
      <w:pPr>
        <w:pStyle w:val="Heading2"/>
      </w:pPr>
      <w:r>
        <w:t xml:space="preserve">2 Data &amp; Methods</w:t>
      </w:r>
    </w:p>
    <w:bookmarkEnd w:id="25"/>
    <w:bookmarkStart w:id="26" w:name="conclusion"/>
    <w:p>
      <w:pPr>
        <w:pStyle w:val="Heading2"/>
      </w:pPr>
      <w:r>
        <w:t xml:space="preserve">3 Conclusion</w:t>
      </w:r>
    </w:p>
    <w:bookmarkEnd w:id="26"/>
    <w:bookmarkStart w:id="30" w:name="references"/>
    <w:p>
      <w:pPr>
        <w:pStyle w:val="Heading2"/>
      </w:pPr>
      <w:r>
        <w:t xml:space="preserve">References</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29" w:name="refs"/>
    <w:bookmarkStart w:id="28" w:name="ref-marrero2019"/>
    <w:p>
      <w:pPr>
        <w:pStyle w:val="Bibliography"/>
      </w:pPr>
      <w:r>
        <w:t xml:space="preserve">Marrero, José, Alicia García, Manuel Berrocoso, Ángeles Llinares, Antonio Rodríguez-Losada, and R. Ortiz. 2019.</w:t>
      </w:r>
      <w:r>
        <w:t xml:space="preserve"> </w:t>
      </w:r>
      <w:r>
        <w:t xml:space="preserve">“Strategies for the Development of Volcanic Hazard Maps in Monogenetic Volcanic Fields: The Example of</w:t>
      </w:r>
      <w:r>
        <w:t xml:space="preserve"> </w:t>
      </w:r>
      <w:r>
        <w:t xml:space="preserve">La</w:t>
      </w:r>
      <w:r>
        <w:t xml:space="preserve"> </w:t>
      </w:r>
      <w:r>
        <w:t xml:space="preserve">Palma</w:t>
      </w:r>
      <w:r>
        <w:t xml:space="preserve"> </w:t>
      </w:r>
      <w:r>
        <w:t xml:space="preserve">(</w:t>
      </w:r>
      <w:r>
        <w:t xml:space="preserve">Canary</w:t>
      </w:r>
      <w:r>
        <w:t xml:space="preserve"> </w:t>
      </w:r>
      <w:r>
        <w:t xml:space="preserve">Islands</w:t>
      </w:r>
      <w:r>
        <w:t xml:space="preserve">).”</w:t>
      </w:r>
      <w:r>
        <w:t xml:space="preserve"> </w:t>
      </w:r>
      <w:r>
        <w:rPr>
          <w:i/>
          <w:iCs/>
        </w:rPr>
        <w:t xml:space="preserve">Journal of Applied Volcanology</w:t>
      </w:r>
      <w:r>
        <w:t xml:space="preserve"> </w:t>
      </w:r>
      <w:r>
        <w:t xml:space="preserve">8 (July).</w:t>
      </w:r>
      <w:r>
        <w:t xml:space="preserve"> </w:t>
      </w:r>
      <w:hyperlink r:id="rId27">
        <w:r>
          <w:rPr>
            <w:rStyle w:val="Hyperlink"/>
          </w:rPr>
          <w:t xml:space="preserve">https://doi.org/10.1186/s13617-019-0085-5</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0" Target="media/rId10.png" /><Relationship Type="http://schemas.openxmlformats.org/officeDocument/2006/relationships/image" Id="rId20" Target="media/rId20.png" /><Relationship Type="http://schemas.openxmlformats.org/officeDocument/2006/relationships/hyperlink" Id="rId9" Target="https://Daniel-PerezPerez.github.io/manuscript-tutorial/index.qmd.html" TargetMode="External" /><Relationship Type="http://schemas.openxmlformats.org/officeDocument/2006/relationships/hyperlink" Id="rId27" Target="https://doi.org/10.1186/s13617-019-0085-5" TargetMode="External" /></Relationships>
</file>

<file path=word/_rels/footnotes.xml.rels><?xml version="1.0" encoding="UTF-8"?><Relationships xmlns="http://schemas.openxmlformats.org/package/2006/relationships"><Relationship Type="http://schemas.openxmlformats.org/officeDocument/2006/relationships/hyperlink" Id="rId9" Target="https://Daniel-PerezPerez.github.io/manuscript-tutorial/index.qmd.html" TargetMode="External" /><Relationship Type="http://schemas.openxmlformats.org/officeDocument/2006/relationships/hyperlink" Id="rId27" Target="https://doi.org/10.1186/s13617-019-008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Palma Earthquakes Mechanisms</dc:title>
  <dc:creator>Steve Purves; Rowan Cockett; Dummy E. Author</dc:creator>
  <cp:keywords>La Palma, Earthquakes</cp:keywords>
  <dcterms:created xsi:type="dcterms:W3CDTF">2026-08-28T07:39:23Z</dcterms:created>
  <dcterms:modified xsi:type="dcterms:W3CDTF">2026-08-28T07:39:23Z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September 2021, a significant jump in seismic activity on the island of La Palma (Canary Islands, Spain) signaled the start of a volcanic crisis that still continues at the time of writing. Earthquake data is continually collected and published by the Instituto Geográphico Nacional (IGN). We aimed at describing alternative methods to describe the probability of a new eruption considering historical data.</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date">
    <vt:lpwstr>2026-08-28</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jupyter">
    <vt:lpwstr>python3</vt:lpwstr>
  </property>
  <property fmtid="{D5CDD505-2E9C-101B-9397-08002B2CF9AE}" pid="17" name="key-points">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plain-language-summary">
    <vt:lpwstr>Earthquake data for the island of La Palma from the September 2021 eruption is found in the database of the Instituto Geográphico Nacional (IGN). Current methods of statistical probability have limited advantages in the prediction of new eruptions.</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