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Pronóstico de Ocupados — 13 Ciudades Principales</w:t>
      </w:r>
    </w:p>
    <w:p>
      <w:pPr>
        <w:spacing w:after="110"/>
      </w:pPr>
      <w:r>
        <w:rPr>
          <w:i/>
          <w:iCs/>
          <w:color w:val="595959"/>
          <w:sz w:val="17"/>
          <w:szCs w:val="17"/>
        </w:rPr>
        <w:t xml:space="preserve">Series de Tiempo · Pontificia Universidad Javeriana Cali · </w:t>
      </w:r>
      <w:r>
        <w:rPr>
          <w:i/>
          <w:iCs/>
          <w:color w:val="595959"/>
          <w:sz w:val="17"/>
          <w:szCs w:val="17"/>
        </w:rPr>
        <w:t xml:space="preserve">Horizonte de pronóstico: julio–diciembre 2019 (6 meses)</w:t>
      </w:r>
    </w:p>
    <w:p>
      <w:pPr>
        <w:pStyle w:val="Heading2"/>
      </w:pPr>
      <w:r>
        <w:t xml:space="preserve">1. Metodología</w:t>
      </w:r>
    </w:p>
    <w:p>
      <w:pPr>
        <w:spacing w:after="60"/>
      </w:pPr>
      <w:r>
        <w:t xml:space="preserve">Se modeló la serie mensual de ocupados (miles de personas) en las 13 ciudades principales, enero 2001–junio 2019. Siguiendo el pipeline del ejercicio anterior (aplicado allí a la tasa de desempleo), los datos se dividieron en entrenamiento (enero 2001–junio 2018, 210 obs.) y prueba fuera de muestra (julio 2018–junio 2019, 12 obs.), usada para comparar modelos vía RMSE.</w:t>
      </w:r>
    </w:p>
    <w:p>
      <w:pPr>
        <w:spacing w:after="60"/>
      </w:pPr>
      <w:r>
        <w:t xml:space="preserve">Se ajustaron, en ese orden, cuatro especificaciones de regresión por mínimos cuadrados ordinarios: </w:t>
      </w:r>
      <w:r>
        <w:rPr>
          <w:i/>
          <w:iCs/>
        </w:rPr>
        <w:t xml:space="preserve">tendencia lineal</w:t>
      </w:r>
      <w:r>
        <w:t xml:space="preserve">, </w:t>
      </w:r>
      <w:r>
        <w:rPr>
          <w:i/>
          <w:iCs/>
        </w:rPr>
        <w:t xml:space="preserve">tendencia cuadrática</w:t>
      </w:r>
      <w:r>
        <w:t xml:space="preserve">, </w:t>
      </w:r>
      <w:r>
        <w:rPr>
          <w:i/>
          <w:iCs/>
        </w:rPr>
        <w:t xml:space="preserve">estacionalidad pura</w:t>
      </w:r>
      <w:r>
        <w:t xml:space="preserve"> (dummies mensuales) y </w:t>
      </w:r>
      <w:r>
        <w:rPr>
          <w:i/>
          <w:iCs/>
        </w:rPr>
        <w:t xml:space="preserve">tendencia cuadrática + estacionalidad</w:t>
      </w:r>
      <w:r>
        <w:t xml:space="preserve">. Cada modelo se entrenó solo hasta junio de 2018 y se evaluó pronosticando los 12 meses de prueba.</w:t>
      </w:r>
    </w:p>
    <w:p>
      <w:pPr>
        <w:spacing w:after="60"/>
      </w:pPr>
      <w:r>
        <w:t xml:space="preserve">La mejor especificación de regresión fue </w:t>
      </w:r>
      <w:r>
        <w:rPr>
          <w:b/>
          <w:bCs/>
        </w:rPr>
        <w:t xml:space="preserve">Tendencia Cuadrática + Estacionalidad</w:t>
      </w:r>
      <w:r>
        <w:t xml:space="preserve"> (RMSE = 576.6; R² = 0.973), superando a la tendencia cuadrática sola (583.4), la lineal (625.9) y, ampliamente, a la estacionalidad pura (1,691.6), que no captura la tendencia de crecimiento. Sin embargo, la prueba de Ljung-Box sobre sus residuales muestra autocorrelación significativa en varios rezagos, señal de que persiste estructura dinámica no explicada — consistente con la desaceleración de la tendencia desde 2015-2016, que un componente de tendencia global no puede seguir.</w:t>
      </w:r>
    </w:p>
    <w:p>
      <w:pPr>
        <w:spacing w:after="90"/>
      </w:pPr>
      <w:r>
        <w:t xml:space="preserve">Como comparación, se reestimó bajo la misma partición el mejor modelo ETS del ejercicio anterior, </w:t>
      </w:r>
      <w:r>
        <w:rPr>
          <w:b/>
          <w:bCs/>
        </w:rPr>
        <w:t xml:space="preserve">ETS(A,N,M)</w:t>
      </w:r>
      <w:r>
        <w:t xml:space="preserve"> — Holt-Winters multiplicativo sin tendencia —, con RMSE de apenas 121.6. Al actualizar el nivel recursivamente, con mayor peso en lo reciente, este modelo se adapta mucho mejor al quiebre de tendencia y a caídas atípicas (ene-2019).</w:t>
      </w:r>
    </w:p>
    <w:p>
      <w:pPr>
        <w:pStyle w:val="Heading2"/>
      </w:pPr>
      <w:r>
        <w:t xml:space="preserve">2. Comparación de resultados</w:t>
      </w:r>
    </w:p>
    <w:p>
      <w:pPr>
        <w:spacing w:after="100"/>
      </w:pPr>
      <w:r>
        <w:t xml:space="preserve">La tabla siguiente resume el RMSE fuera de muestra de cada modelo evaluado. El mejor modelo de regresión (tendencia cuadrática + estacionalidad) se mantiene muy por encima del mejor modelo ETS, por lo que este último es el seleccionado para las proyecciones finales.</w:t>
      </w:r>
    </w:p>
    <w:tbl>
      <w:tblPr>
        <w:tblW w:type="dxa" w:w="10540"/>
        <w:tblBorders>
          <w:top w:val="single" w:color="BFBFBF" w:sz="2"/>
          <w:left w:val="single" w:color="BFBFBF" w:sz="2"/>
          <w:bottom w:val="single" w:color="BFBFBF" w:sz="2"/>
          <w:right w:val="single" w:color="BFBFBF" w:sz="2"/>
          <w:insideH w:val="single" w:color="BFBFBF" w:sz="2"/>
          <w:insideV w:val="single" w:color="BFBFBF" w:sz="2"/>
        </w:tblBorders>
      </w:tblPr>
      <w:tblGrid>
        <w:gridCol w:w="6200"/>
        <w:gridCol w:w="2170"/>
        <w:gridCol w:w="2170"/>
      </w:tblGrid>
      <w:tr>
        <w:tc>
          <w:tcPr>
            <w:tcW w:type="dxa" w:w="6200"/>
            <w:shd w:fill="1F3864" w:val="clear"/>
            <w:tcMar>
              <w:top w:type="dxa" w:w="50"/>
              <w:left w:type="dxa" w:w="80"/>
              <w:bottom w:type="dxa" w:w="50"/>
              <w:right w:type="dxa" w:w="80"/>
            </w:tcMar>
          </w:tcPr>
          <w:p>
            <w:r>
              <w:rPr>
                <w:b/>
                <w:bCs/>
                <w:color w:val="FFFFFF"/>
                <w:sz w:val="16"/>
                <w:szCs w:val="16"/>
              </w:rPr>
              <w:t xml:space="preserve">Modelo</w:t>
            </w:r>
          </w:p>
        </w:tc>
        <w:tc>
          <w:tcPr>
            <w:tcW w:type="dxa" w:w="2170"/>
            <w:shd w:fill="1F3864" w:val="clear"/>
            <w:tcMar>
              <w:top w:type="dxa" w:w="50"/>
              <w:left w:type="dxa" w:w="80"/>
              <w:bottom w:type="dxa" w:w="50"/>
              <w:right w:type="dxa" w:w="80"/>
            </w:tcMar>
          </w:tcPr>
          <w:p>
            <w:r>
              <w:rPr>
                <w:b/>
                <w:bCs/>
                <w:color w:val="FFFFFF"/>
                <w:sz w:val="16"/>
                <w:szCs w:val="16"/>
              </w:rPr>
              <w:t xml:space="preserve">RMSE (test)</w:t>
            </w:r>
          </w:p>
        </w:tc>
        <w:tc>
          <w:tcPr>
            <w:tcW w:type="dxa" w:w="2170"/>
            <w:shd w:fill="1F3864" w:val="clear"/>
            <w:tcMar>
              <w:top w:type="dxa" w:w="50"/>
              <w:left w:type="dxa" w:w="80"/>
              <w:bottom w:type="dxa" w:w="50"/>
              <w:right w:type="dxa" w:w="80"/>
            </w:tcMar>
          </w:tcPr>
          <w:p>
            <w:r>
              <w:rPr>
                <w:b/>
                <w:bCs/>
                <w:color w:val="FFFFFF"/>
                <w:sz w:val="16"/>
                <w:szCs w:val="16"/>
              </w:rPr>
              <w:t xml:space="preserve">R² (train)</w:t>
            </w:r>
          </w:p>
        </w:tc>
      </w:tr>
      <w:tr>
        <w:tc>
          <w:tcPr>
            <w:tcW w:type="dxa" w:w="6200"/>
            <w:shd w:fill="F2F2F2" w:val="clear"/>
            <w:tcMar>
              <w:top w:type="dxa" w:w="40"/>
              <w:left w:type="dxa" w:w="80"/>
              <w:bottom w:type="dxa" w:w="40"/>
              <w:right w:type="dxa" w:w="80"/>
            </w:tcMar>
          </w:tcPr>
          <w:p>
            <w:r>
              <w:rPr>
                <w:b w:val="false"/>
                <w:bCs w:val="false"/>
                <w:sz w:val="16"/>
                <w:szCs w:val="16"/>
              </w:rPr>
              <w:t xml:space="preserve">Tendencia Lineal</w:t>
            </w:r>
          </w:p>
        </w:tc>
        <w:tc>
          <w:tcPr>
            <w:tcW w:type="dxa" w:w="2170"/>
            <w:shd w:fill="F2F2F2" w:val="clear"/>
            <w:tcMar>
              <w:top w:type="dxa" w:w="40"/>
              <w:left w:type="dxa" w:w="80"/>
              <w:bottom w:type="dxa" w:w="40"/>
              <w:right w:type="dxa" w:w="80"/>
            </w:tcMar>
          </w:tcPr>
          <w:p>
            <w:r>
              <w:rPr>
                <w:b w:val="false"/>
                <w:bCs w:val="false"/>
                <w:sz w:val="16"/>
                <w:szCs w:val="16"/>
              </w:rPr>
              <w:t xml:space="preserve">625.9</w:t>
            </w:r>
          </w:p>
        </w:tc>
        <w:tc>
          <w:tcPr>
            <w:tcW w:type="dxa" w:w="2170"/>
            <w:shd w:fill="F2F2F2" w:val="clear"/>
            <w:tcMar>
              <w:top w:type="dxa" w:w="40"/>
              <w:left w:type="dxa" w:w="80"/>
              <w:bottom w:type="dxa" w:w="40"/>
              <w:right w:type="dxa" w:w="80"/>
            </w:tcMar>
          </w:tcPr>
          <w:p>
            <w:r>
              <w:rPr>
                <w:b w:val="false"/>
                <w:bCs w:val="false"/>
                <w:sz w:val="16"/>
                <w:szCs w:val="16"/>
              </w:rPr>
              <w:t xml:space="preserve">0.963</w:t>
            </w:r>
          </w:p>
        </w:tc>
      </w:tr>
      <w:tr>
        <w:tc>
          <w:tcPr>
            <w:tcW w:type="dxa" w:w="6200"/>
            <w:shd w:fill="FFFFFF" w:val="clear"/>
            <w:tcMar>
              <w:top w:type="dxa" w:w="40"/>
              <w:left w:type="dxa" w:w="80"/>
              <w:bottom w:type="dxa" w:w="40"/>
              <w:right w:type="dxa" w:w="80"/>
            </w:tcMar>
          </w:tcPr>
          <w:p>
            <w:r>
              <w:rPr>
                <w:b w:val="false"/>
                <w:bCs w:val="false"/>
                <w:sz w:val="16"/>
                <w:szCs w:val="16"/>
              </w:rPr>
              <w:t xml:space="preserve">Tendencia Cuadrática</w:t>
            </w:r>
          </w:p>
        </w:tc>
        <w:tc>
          <w:tcPr>
            <w:tcW w:type="dxa" w:w="2170"/>
            <w:shd w:fill="FFFFFF" w:val="clear"/>
            <w:tcMar>
              <w:top w:type="dxa" w:w="40"/>
              <w:left w:type="dxa" w:w="80"/>
              <w:bottom w:type="dxa" w:w="40"/>
              <w:right w:type="dxa" w:w="80"/>
            </w:tcMar>
          </w:tcPr>
          <w:p>
            <w:r>
              <w:rPr>
                <w:b w:val="false"/>
                <w:bCs w:val="false"/>
                <w:sz w:val="16"/>
                <w:szCs w:val="16"/>
              </w:rPr>
              <w:t xml:space="preserve">583.4</w:t>
            </w:r>
          </w:p>
        </w:tc>
        <w:tc>
          <w:tcPr>
            <w:tcW w:type="dxa" w:w="2170"/>
            <w:shd w:fill="FFFFFF" w:val="clear"/>
            <w:tcMar>
              <w:top w:type="dxa" w:w="40"/>
              <w:left w:type="dxa" w:w="80"/>
              <w:bottom w:type="dxa" w:w="40"/>
              <w:right w:type="dxa" w:w="80"/>
            </w:tcMar>
          </w:tcPr>
          <w:p>
            <w:r>
              <w:rPr>
                <w:b w:val="false"/>
                <w:bCs w:val="false"/>
                <w:sz w:val="16"/>
                <w:szCs w:val="16"/>
              </w:rPr>
              <w:t xml:space="preserve">0.963</w:t>
            </w:r>
          </w:p>
        </w:tc>
      </w:tr>
      <w:tr>
        <w:tc>
          <w:tcPr>
            <w:tcW w:type="dxa" w:w="6200"/>
            <w:shd w:fill="F2F2F2" w:val="clear"/>
            <w:tcMar>
              <w:top w:type="dxa" w:w="40"/>
              <w:left w:type="dxa" w:w="80"/>
              <w:bottom w:type="dxa" w:w="40"/>
              <w:right w:type="dxa" w:w="80"/>
            </w:tcMar>
          </w:tcPr>
          <w:p>
            <w:r>
              <w:rPr>
                <w:b w:val="false"/>
                <w:bCs w:val="false"/>
                <w:sz w:val="16"/>
                <w:szCs w:val="16"/>
              </w:rPr>
              <w:t xml:space="preserve">Estacionalidad (dummies)</w:t>
            </w:r>
          </w:p>
        </w:tc>
        <w:tc>
          <w:tcPr>
            <w:tcW w:type="dxa" w:w="2170"/>
            <w:shd w:fill="F2F2F2" w:val="clear"/>
            <w:tcMar>
              <w:top w:type="dxa" w:w="40"/>
              <w:left w:type="dxa" w:w="80"/>
              <w:bottom w:type="dxa" w:w="40"/>
              <w:right w:type="dxa" w:w="80"/>
            </w:tcMar>
          </w:tcPr>
          <w:p>
            <w:r>
              <w:rPr>
                <w:b w:val="false"/>
                <w:bCs w:val="false"/>
                <w:sz w:val="16"/>
                <w:szCs w:val="16"/>
              </w:rPr>
              <w:t xml:space="preserve">1,691.6</w:t>
            </w:r>
          </w:p>
        </w:tc>
        <w:tc>
          <w:tcPr>
            <w:tcW w:type="dxa" w:w="2170"/>
            <w:shd w:fill="F2F2F2" w:val="clear"/>
            <w:tcMar>
              <w:top w:type="dxa" w:w="40"/>
              <w:left w:type="dxa" w:w="80"/>
              <w:bottom w:type="dxa" w:w="40"/>
              <w:right w:type="dxa" w:w="80"/>
            </w:tcMar>
          </w:tcPr>
          <w:p>
            <w:r>
              <w:rPr>
                <w:b w:val="false"/>
                <w:bCs w:val="false"/>
                <w:sz w:val="16"/>
                <w:szCs w:val="16"/>
              </w:rPr>
              <w:t xml:space="preserve">0.014</w:t>
            </w:r>
          </w:p>
        </w:tc>
      </w:tr>
      <w:tr>
        <w:tc>
          <w:tcPr>
            <w:tcW w:type="dxa" w:w="6200"/>
            <w:shd w:fill="FFFFFF" w:val="clear"/>
            <w:tcMar>
              <w:top w:type="dxa" w:w="40"/>
              <w:left w:type="dxa" w:w="80"/>
              <w:bottom w:type="dxa" w:w="40"/>
              <w:right w:type="dxa" w:w="80"/>
            </w:tcMar>
          </w:tcPr>
          <w:p>
            <w:r>
              <w:rPr>
                <w:b/>
                <w:bCs/>
                <w:sz w:val="16"/>
                <w:szCs w:val="16"/>
              </w:rPr>
              <w:t xml:space="preserve">Tendencia Cuadrática + Estacionalidad  (mejor regresión)</w:t>
            </w:r>
          </w:p>
        </w:tc>
        <w:tc>
          <w:tcPr>
            <w:tcW w:type="dxa" w:w="2170"/>
            <w:shd w:fill="FFFFFF" w:val="clear"/>
            <w:tcMar>
              <w:top w:type="dxa" w:w="40"/>
              <w:left w:type="dxa" w:w="80"/>
              <w:bottom w:type="dxa" w:w="40"/>
              <w:right w:type="dxa" w:w="80"/>
            </w:tcMar>
          </w:tcPr>
          <w:p>
            <w:r>
              <w:rPr>
                <w:b/>
                <w:bCs/>
                <w:sz w:val="16"/>
                <w:szCs w:val="16"/>
              </w:rPr>
              <w:t xml:space="preserve">576.6</w:t>
            </w:r>
          </w:p>
        </w:tc>
        <w:tc>
          <w:tcPr>
            <w:tcW w:type="dxa" w:w="2170"/>
            <w:shd w:fill="FFFFFF" w:val="clear"/>
            <w:tcMar>
              <w:top w:type="dxa" w:w="40"/>
              <w:left w:type="dxa" w:w="80"/>
              <w:bottom w:type="dxa" w:w="40"/>
              <w:right w:type="dxa" w:w="80"/>
            </w:tcMar>
          </w:tcPr>
          <w:p>
            <w:r>
              <w:rPr>
                <w:b/>
                <w:bCs/>
                <w:sz w:val="16"/>
                <w:szCs w:val="16"/>
              </w:rPr>
              <w:t xml:space="preserve">0.973</w:t>
            </w:r>
          </w:p>
        </w:tc>
      </w:tr>
      <w:tr>
        <w:tc>
          <w:tcPr>
            <w:tcW w:type="dxa" w:w="6200"/>
            <w:shd w:fill="FCE4C4" w:val="clear"/>
            <w:tcMar>
              <w:top w:type="dxa" w:w="40"/>
              <w:left w:type="dxa" w:w="80"/>
              <w:bottom w:type="dxa" w:w="40"/>
              <w:right w:type="dxa" w:w="80"/>
            </w:tcMar>
          </w:tcPr>
          <w:p>
            <w:r>
              <w:rPr>
                <w:b/>
                <w:bCs/>
                <w:sz w:val="16"/>
                <w:szCs w:val="16"/>
              </w:rPr>
              <w:t xml:space="preserve">ETS(A,N,M) — Holt-Winters mult. sin tendencia  (mejor modelo)</w:t>
            </w:r>
          </w:p>
        </w:tc>
        <w:tc>
          <w:tcPr>
            <w:tcW w:type="dxa" w:w="2170"/>
            <w:shd w:fill="FCE4C4" w:val="clear"/>
            <w:tcMar>
              <w:top w:type="dxa" w:w="40"/>
              <w:left w:type="dxa" w:w="80"/>
              <w:bottom w:type="dxa" w:w="40"/>
              <w:right w:type="dxa" w:w="80"/>
            </w:tcMar>
          </w:tcPr>
          <w:p>
            <w:r>
              <w:rPr>
                <w:b/>
                <w:bCs/>
                <w:sz w:val="16"/>
                <w:szCs w:val="16"/>
              </w:rPr>
              <w:t xml:space="preserve">121.6</w:t>
            </w:r>
          </w:p>
        </w:tc>
        <w:tc>
          <w:tcPr>
            <w:tcW w:type="dxa" w:w="2170"/>
            <w:shd w:fill="FCE4C4" w:val="clear"/>
            <w:tcMar>
              <w:top w:type="dxa" w:w="40"/>
              <w:left w:type="dxa" w:w="80"/>
              <w:bottom w:type="dxa" w:w="40"/>
              <w:right w:type="dxa" w:w="80"/>
            </w:tcMar>
          </w:tcPr>
          <w:p>
            <w:r>
              <w:rPr>
                <w:b/>
                <w:bCs/>
                <w:sz w:val="16"/>
                <w:szCs w:val="16"/>
              </w:rPr>
              <w:t xml:space="preserve">—</w:t>
            </w:r>
          </w:p>
        </w:tc>
      </w:tr>
    </w:tbl>
    <w:p>
      <w:pPr>
        <w:pStyle w:val="Heading2"/>
      </w:pPr>
      <w:r>
        <w:t xml:space="preserve">3. Proyecciones — julio a diciembre 2019</w:t>
      </w:r>
    </w:p>
    <w:p>
      <w:pPr>
        <w:spacing w:after="80"/>
      </w:pPr>
      <w:r>
        <w:t xml:space="preserve">Con el modelo ETS(A,N,M) seleccionado, se reestimó usando toda la serie disponible (hasta junio de 2019) y se generaron los pronósticos puntuales y los intervalos de confianza del 95% (obtenidos por simulación) para los seis meses siguientes:</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Mar>
              <w:top w:type="dxa" w:w="0"/>
              <w:left w:type="dxa" w:w="0"/>
              <w:bottom w:type="dxa" w:w="0"/>
              <w:right w:type="dxa" w:w="80"/>
            </w:tcMar>
          </w:tcPr>
          <w:p>
            <w:r>
              <w:drawing>
                <wp:inline distT="0" distB="0" distL="0" distR="0">
                  <wp:extent cx="41148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1781175"/>
                          </a:xfrm>
                          <a:prstGeom prst="rect">
                            <a:avLst/>
                          </a:prstGeom>
                        </pic:spPr>
                      </pic:pic>
                    </a:graphicData>
                  </a:graphic>
                </wp:inline>
              </w:drawing>
            </w:r>
          </w:p>
        </w:tc>
        <w:tc>
          <w:tcPr>
            <w:tcW w:type="dxa" w:w="4240"/>
            <w:tcMar>
              <w:top w:type="dxa" w:w="0"/>
              <w:left w:type="dxa" w:w="80"/>
              <w:bottom w:type="dxa" w:w="0"/>
              <w:right w:type="dxa" w:w="0"/>
            </w:tcMar>
          </w:tcPr>
          <w:tbl>
            <w:tblPr>
              <w:tblW w:type="dxa" w:w="4240"/>
              <w:tblBorders>
                <w:top w:val="single" w:color="auto" w:sz="4"/>
                <w:left w:val="single" w:color="auto" w:sz="4"/>
                <w:bottom w:val="single" w:color="auto" w:sz="4"/>
                <w:right w:val="single" w:color="auto" w:sz="4"/>
                <w:insideH w:val="single" w:color="auto" w:sz="4"/>
                <w:insideV w:val="single" w:color="auto" w:sz="4"/>
              </w:tblBorders>
            </w:tblPr>
            <w:tblGrid>
              <w:gridCol w:w="1520"/>
              <w:gridCol w:w="1360"/>
              <w:gridCol w:w="1360"/>
            </w:tblGrid>
            <w:tr>
              <w:tc>
                <w:tcPr>
                  <w:tcW w:type="dxa" w:w="1520"/>
                  <w:shd w:fill="1F3864" w:val="clear"/>
                  <w:tcMar>
                    <w:top w:type="dxa" w:w="35"/>
                    <w:left w:type="dxa" w:w="55"/>
                    <w:bottom w:type="dxa" w:w="35"/>
                    <w:right w:type="dxa" w:w="55"/>
                  </w:tcMar>
                </w:tcPr>
                <w:p>
                  <w:r>
                    <w:rPr>
                      <w:b/>
                      <w:bCs/>
                      <w:color w:val="FFFFFF"/>
                      <w:sz w:val="14"/>
                      <w:szCs w:val="14"/>
                    </w:rPr>
                    <w:t xml:space="preserve">Mes</w:t>
                  </w:r>
                </w:p>
              </w:tc>
              <w:tc>
                <w:tcPr>
                  <w:tcW w:type="dxa" w:w="1360"/>
                  <w:shd w:fill="1F3864" w:val="clear"/>
                  <w:tcMar>
                    <w:top w:type="dxa" w:w="35"/>
                    <w:left w:type="dxa" w:w="55"/>
                    <w:bottom w:type="dxa" w:w="35"/>
                    <w:right w:type="dxa" w:w="55"/>
                  </w:tcMar>
                </w:tcPr>
                <w:p>
                  <w:r>
                    <w:rPr>
                      <w:b/>
                      <w:bCs/>
                      <w:color w:val="FFFFFF"/>
                      <w:sz w:val="14"/>
                      <w:szCs w:val="14"/>
                    </w:rPr>
                    <w:t xml:space="preserve">Pron.</w:t>
                  </w:r>
                </w:p>
              </w:tc>
              <w:tc>
                <w:tcPr>
                  <w:tcW w:type="dxa" w:w="1360"/>
                  <w:shd w:fill="1F3864" w:val="clear"/>
                  <w:tcMar>
                    <w:top w:type="dxa" w:w="35"/>
                    <w:left w:type="dxa" w:w="55"/>
                    <w:bottom w:type="dxa" w:w="35"/>
                    <w:right w:type="dxa" w:w="55"/>
                  </w:tcMar>
                </w:tcPr>
                <w:p>
                  <w:r>
                    <w:rPr>
                      <w:b/>
                      <w:bCs/>
                      <w:color w:val="FFFFFF"/>
                      <w:sz w:val="14"/>
                      <w:szCs w:val="14"/>
                    </w:rPr>
                    <w:t xml:space="preserve">IC 95%</w:t>
                  </w:r>
                </w:p>
              </w:tc>
            </w:tr>
            <w:tr>
              <w:tc>
                <w:tcPr>
                  <w:tcW w:type="dxa" w:w="1520"/>
                  <w:shd w:fill="F2F2F2" w:val="clear"/>
                  <w:tcMar>
                    <w:top w:type="dxa" w:w="28"/>
                    <w:left w:type="dxa" w:w="55"/>
                    <w:bottom w:type="dxa" w:w="28"/>
                    <w:right w:type="dxa" w:w="55"/>
                  </w:tcMar>
                </w:tcPr>
                <w:p>
                  <w:r>
                    <w:rPr>
                      <w:sz w:val="14"/>
                      <w:szCs w:val="14"/>
                    </w:rPr>
                    <w:t xml:space="preserve">Jul-19</w:t>
                  </w:r>
                </w:p>
              </w:tc>
              <w:tc>
                <w:tcPr>
                  <w:tcW w:type="dxa" w:w="1360"/>
                  <w:shd w:fill="F2F2F2" w:val="clear"/>
                  <w:tcMar>
                    <w:top w:type="dxa" w:w="28"/>
                    <w:left w:type="dxa" w:w="55"/>
                    <w:bottom w:type="dxa" w:w="28"/>
                    <w:right w:type="dxa" w:w="55"/>
                  </w:tcMar>
                </w:tcPr>
                <w:p>
                  <w:r>
                    <w:rPr>
                      <w:sz w:val="14"/>
                      <w:szCs w:val="14"/>
                    </w:rPr>
                    <w:t xml:space="preserve">10,888</w:t>
                  </w:r>
                </w:p>
              </w:tc>
              <w:tc>
                <w:tcPr>
                  <w:tcW w:type="dxa" w:w="1360"/>
                  <w:shd w:fill="F2F2F2" w:val="clear"/>
                  <w:tcMar>
                    <w:top w:type="dxa" w:w="28"/>
                    <w:left w:type="dxa" w:w="55"/>
                    <w:bottom w:type="dxa" w:w="28"/>
                    <w:right w:type="dxa" w:w="55"/>
                  </w:tcMar>
                </w:tcPr>
                <w:p>
                  <w:r>
                    <w:rPr>
                      <w:sz w:val="14"/>
                      <w:szCs w:val="14"/>
                    </w:rPr>
                    <w:t xml:space="preserve">[10,612 - 11,193]</w:t>
                  </w:r>
                </w:p>
              </w:tc>
            </w:tr>
            <w:tr>
              <w:tc>
                <w:tcPr>
                  <w:tcW w:type="dxa" w:w="1520"/>
                  <w:shd w:fill="FFFFFF" w:val="clear"/>
                  <w:tcMar>
                    <w:top w:type="dxa" w:w="28"/>
                    <w:left w:type="dxa" w:w="55"/>
                    <w:bottom w:type="dxa" w:w="28"/>
                    <w:right w:type="dxa" w:w="55"/>
                  </w:tcMar>
                </w:tcPr>
                <w:p>
                  <w:r>
                    <w:rPr>
                      <w:sz w:val="14"/>
                      <w:szCs w:val="14"/>
                    </w:rPr>
                    <w:t xml:space="preserve">Ago-19</w:t>
                  </w:r>
                </w:p>
              </w:tc>
              <w:tc>
                <w:tcPr>
                  <w:tcW w:type="dxa" w:w="1360"/>
                  <w:shd w:fill="FFFFFF" w:val="clear"/>
                  <w:tcMar>
                    <w:top w:type="dxa" w:w="28"/>
                    <w:left w:type="dxa" w:w="55"/>
                    <w:bottom w:type="dxa" w:w="28"/>
                    <w:right w:type="dxa" w:w="55"/>
                  </w:tcMar>
                </w:tcPr>
                <w:p>
                  <w:r>
                    <w:rPr>
                      <w:sz w:val="14"/>
                      <w:szCs w:val="14"/>
                    </w:rPr>
                    <w:t xml:space="preserve">10,857</w:t>
                  </w:r>
                </w:p>
              </w:tc>
              <w:tc>
                <w:tcPr>
                  <w:tcW w:type="dxa" w:w="1360"/>
                  <w:shd w:fill="FFFFFF" w:val="clear"/>
                  <w:tcMar>
                    <w:top w:type="dxa" w:w="28"/>
                    <w:left w:type="dxa" w:w="55"/>
                    <w:bottom w:type="dxa" w:w="28"/>
                    <w:right w:type="dxa" w:w="55"/>
                  </w:tcMar>
                </w:tcPr>
                <w:p>
                  <w:r>
                    <w:rPr>
                      <w:sz w:val="14"/>
                      <w:szCs w:val="14"/>
                    </w:rPr>
                    <w:t xml:space="preserve">[10,537 - 11,209]</w:t>
                  </w:r>
                </w:p>
              </w:tc>
            </w:tr>
            <w:tr>
              <w:tc>
                <w:tcPr>
                  <w:tcW w:type="dxa" w:w="1520"/>
                  <w:shd w:fill="F2F2F2" w:val="clear"/>
                  <w:tcMar>
                    <w:top w:type="dxa" w:w="28"/>
                    <w:left w:type="dxa" w:w="55"/>
                    <w:bottom w:type="dxa" w:w="28"/>
                    <w:right w:type="dxa" w:w="55"/>
                  </w:tcMar>
                </w:tcPr>
                <w:p>
                  <w:r>
                    <w:rPr>
                      <w:sz w:val="14"/>
                      <w:szCs w:val="14"/>
                    </w:rPr>
                    <w:t xml:space="preserve">Sep-19</w:t>
                  </w:r>
                </w:p>
              </w:tc>
              <w:tc>
                <w:tcPr>
                  <w:tcW w:type="dxa" w:w="1360"/>
                  <w:shd w:fill="F2F2F2" w:val="clear"/>
                  <w:tcMar>
                    <w:top w:type="dxa" w:w="28"/>
                    <w:left w:type="dxa" w:w="55"/>
                    <w:bottom w:type="dxa" w:w="28"/>
                    <w:right w:type="dxa" w:w="55"/>
                  </w:tcMar>
                </w:tcPr>
                <w:p>
                  <w:r>
                    <w:rPr>
                      <w:sz w:val="14"/>
                      <w:szCs w:val="14"/>
                    </w:rPr>
                    <w:t xml:space="preserve">10,932</w:t>
                  </w:r>
                </w:p>
              </w:tc>
              <w:tc>
                <w:tcPr>
                  <w:tcW w:type="dxa" w:w="1360"/>
                  <w:shd w:fill="F2F2F2" w:val="clear"/>
                  <w:tcMar>
                    <w:top w:type="dxa" w:w="28"/>
                    <w:left w:type="dxa" w:w="55"/>
                    <w:bottom w:type="dxa" w:w="28"/>
                    <w:right w:type="dxa" w:w="55"/>
                  </w:tcMar>
                </w:tcPr>
                <w:p>
                  <w:r>
                    <w:rPr>
                      <w:sz w:val="14"/>
                      <w:szCs w:val="14"/>
                    </w:rPr>
                    <w:t xml:space="preserve">[10,551 - 11,312]</w:t>
                  </w:r>
                </w:p>
              </w:tc>
            </w:tr>
            <w:tr>
              <w:tc>
                <w:tcPr>
                  <w:tcW w:type="dxa" w:w="1520"/>
                  <w:shd w:fill="FFFFFF" w:val="clear"/>
                  <w:tcMar>
                    <w:top w:type="dxa" w:w="28"/>
                    <w:left w:type="dxa" w:w="55"/>
                    <w:bottom w:type="dxa" w:w="28"/>
                    <w:right w:type="dxa" w:w="55"/>
                  </w:tcMar>
                </w:tcPr>
                <w:p>
                  <w:r>
                    <w:rPr>
                      <w:sz w:val="14"/>
                      <w:szCs w:val="14"/>
                    </w:rPr>
                    <w:t xml:space="preserve">Oct-19</w:t>
                  </w:r>
                </w:p>
              </w:tc>
              <w:tc>
                <w:tcPr>
                  <w:tcW w:type="dxa" w:w="1360"/>
                  <w:shd w:fill="FFFFFF" w:val="clear"/>
                  <w:tcMar>
                    <w:top w:type="dxa" w:w="28"/>
                    <w:left w:type="dxa" w:w="55"/>
                    <w:bottom w:type="dxa" w:w="28"/>
                    <w:right w:type="dxa" w:w="55"/>
                  </w:tcMar>
                </w:tcPr>
                <w:p>
                  <w:r>
                    <w:rPr>
                      <w:sz w:val="14"/>
                      <w:szCs w:val="14"/>
                    </w:rPr>
                    <w:t xml:space="preserve">11,056</w:t>
                  </w:r>
                </w:p>
              </w:tc>
              <w:tc>
                <w:tcPr>
                  <w:tcW w:type="dxa" w:w="1360"/>
                  <w:shd w:fill="FFFFFF" w:val="clear"/>
                  <w:tcMar>
                    <w:top w:type="dxa" w:w="28"/>
                    <w:left w:type="dxa" w:w="55"/>
                    <w:bottom w:type="dxa" w:w="28"/>
                    <w:right w:type="dxa" w:w="55"/>
                  </w:tcMar>
                </w:tcPr>
                <w:p>
                  <w:r>
                    <w:rPr>
                      <w:sz w:val="14"/>
                      <w:szCs w:val="14"/>
                    </w:rPr>
                    <w:t xml:space="preserve">[10,634 - 11,491]</w:t>
                  </w:r>
                </w:p>
              </w:tc>
            </w:tr>
            <w:tr>
              <w:tc>
                <w:tcPr>
                  <w:tcW w:type="dxa" w:w="1520"/>
                  <w:shd w:fill="F2F2F2" w:val="clear"/>
                  <w:tcMar>
                    <w:top w:type="dxa" w:w="28"/>
                    <w:left w:type="dxa" w:w="55"/>
                    <w:bottom w:type="dxa" w:w="28"/>
                    <w:right w:type="dxa" w:w="55"/>
                  </w:tcMar>
                </w:tcPr>
                <w:p>
                  <w:r>
                    <w:rPr>
                      <w:sz w:val="14"/>
                      <w:szCs w:val="14"/>
                    </w:rPr>
                    <w:t xml:space="preserve">Nov-19</w:t>
                  </w:r>
                </w:p>
              </w:tc>
              <w:tc>
                <w:tcPr>
                  <w:tcW w:type="dxa" w:w="1360"/>
                  <w:shd w:fill="F2F2F2" w:val="clear"/>
                  <w:tcMar>
                    <w:top w:type="dxa" w:w="28"/>
                    <w:left w:type="dxa" w:w="55"/>
                    <w:bottom w:type="dxa" w:w="28"/>
                    <w:right w:type="dxa" w:w="55"/>
                  </w:tcMar>
                </w:tcPr>
                <w:p>
                  <w:r>
                    <w:rPr>
                      <w:sz w:val="14"/>
                      <w:szCs w:val="14"/>
                    </w:rPr>
                    <w:t xml:space="preserve">11,062</w:t>
                  </w:r>
                </w:p>
              </w:tc>
              <w:tc>
                <w:tcPr>
                  <w:tcW w:type="dxa" w:w="1360"/>
                  <w:shd w:fill="F2F2F2" w:val="clear"/>
                  <w:tcMar>
                    <w:top w:type="dxa" w:w="28"/>
                    <w:left w:type="dxa" w:w="55"/>
                    <w:bottom w:type="dxa" w:w="28"/>
                    <w:right w:type="dxa" w:w="55"/>
                  </w:tcMar>
                </w:tcPr>
                <w:p>
                  <w:r>
                    <w:rPr>
                      <w:sz w:val="14"/>
                      <w:szCs w:val="14"/>
                    </w:rPr>
                    <w:t xml:space="preserve">[10,632 - 11,532]</w:t>
                  </w:r>
                </w:p>
              </w:tc>
            </w:tr>
            <w:tr>
              <w:tc>
                <w:tcPr>
                  <w:tcW w:type="dxa" w:w="1520"/>
                  <w:shd w:fill="FFFFFF" w:val="clear"/>
                  <w:tcMar>
                    <w:top w:type="dxa" w:w="28"/>
                    <w:left w:type="dxa" w:w="55"/>
                    <w:bottom w:type="dxa" w:w="28"/>
                    <w:right w:type="dxa" w:w="55"/>
                  </w:tcMar>
                </w:tcPr>
                <w:p>
                  <w:r>
                    <w:rPr>
                      <w:sz w:val="14"/>
                      <w:szCs w:val="14"/>
                    </w:rPr>
                    <w:t xml:space="preserve">Dic-19</w:t>
                  </w:r>
                </w:p>
              </w:tc>
              <w:tc>
                <w:tcPr>
                  <w:tcW w:type="dxa" w:w="1360"/>
                  <w:shd w:fill="FFFFFF" w:val="clear"/>
                  <w:tcMar>
                    <w:top w:type="dxa" w:w="28"/>
                    <w:left w:type="dxa" w:w="55"/>
                    <w:bottom w:type="dxa" w:w="28"/>
                    <w:right w:type="dxa" w:w="55"/>
                  </w:tcMar>
                </w:tcPr>
                <w:p>
                  <w:r>
                    <w:rPr>
                      <w:sz w:val="14"/>
                      <w:szCs w:val="14"/>
                    </w:rPr>
                    <w:t xml:space="preserve">10,948</w:t>
                  </w:r>
                </w:p>
              </w:tc>
              <w:tc>
                <w:tcPr>
                  <w:tcW w:type="dxa" w:w="1360"/>
                  <w:shd w:fill="FFFFFF" w:val="clear"/>
                  <w:tcMar>
                    <w:top w:type="dxa" w:w="28"/>
                    <w:left w:type="dxa" w:w="55"/>
                    <w:bottom w:type="dxa" w:w="28"/>
                    <w:right w:type="dxa" w:w="55"/>
                  </w:tcMar>
                </w:tcPr>
                <w:p>
                  <w:r>
                    <w:rPr>
                      <w:sz w:val="14"/>
                      <w:szCs w:val="14"/>
                    </w:rPr>
                    <w:t xml:space="preserve">[10,474 - 11,435]</w:t>
                  </w:r>
                </w:p>
              </w:tc>
            </w:tr>
          </w:tbl>
          <w:p/>
        </w:tc>
      </w:tr>
    </w:tbl>
    <w:p>
      <w:pPr>
        <w:spacing w:after="80" w:before="110"/>
      </w:pPr>
      <w:r>
        <w:t xml:space="preserve">Las proyecciones puntuales señalan una recuperación moderada del nivel de ocupación hacia octubre-noviembre de 2019 (en torno a 11.06 millones de personas), seguida de una leve corrección estacional en diciembre, patrón consistente con el comportamiento estacional histórico de la serie.</w:t>
      </w:r>
    </w:p>
    <w:p>
      <w:pPr>
        <w:pStyle w:val="Heading2"/>
      </w:pPr>
      <w:r>
        <w:t xml:space="preserve">4. Limitaciones del pronóstico</w:t>
      </w:r>
    </w:p>
    <w:p>
      <w:pPr>
        <w:pStyle w:val="ListParagraph"/>
        <w:numPr>
          <w:ilvl w:val="0"/>
          <w:numId w:val="2"/>
        </w:numPr>
        <w:spacing w:after="25"/>
      </w:pPr>
      <w:r>
        <w:rPr>
          <w:b/>
          <w:bCs/>
        </w:rPr>
        <w:t xml:space="preserve">Naturaleza univariada: </w:t>
      </w:r>
      <w:r>
        <w:t xml:space="preserve">no incorpora variables exógenas (PIB, inflación, TRM, reformas laborales).</w:t>
      </w:r>
    </w:p>
    <w:p>
      <w:pPr>
        <w:pStyle w:val="ListParagraph"/>
        <w:numPr>
          <w:ilvl w:val="0"/>
          <w:numId w:val="2"/>
        </w:numPr>
        <w:spacing w:after="25"/>
      </w:pPr>
      <w:r>
        <w:rPr>
          <w:b/>
          <w:bCs/>
        </w:rPr>
        <w:t xml:space="preserve">Incertidumbre creciente: </w:t>
      </w:r>
      <w:r>
        <w:t xml:space="preserve">los intervalos se amplían con el horizonte; diciembre es menos confiable que julio.</w:t>
      </w:r>
    </w:p>
    <w:p>
      <w:pPr>
        <w:pStyle w:val="ListParagraph"/>
        <w:numPr>
          <w:ilvl w:val="0"/>
          <w:numId w:val="2"/>
        </w:numPr>
        <w:spacing w:after="25"/>
      </w:pPr>
      <w:r>
        <w:rPr>
          <w:b/>
          <w:bCs/>
        </w:rPr>
        <w:t xml:space="preserve">Vulnerabilidad a choques estructurales: </w:t>
      </w:r>
      <w:r>
        <w:t xml:space="preserve">eventos atípicos no anticipados en el historial invalidarían la proyección.</w:t>
      </w:r>
    </w:p>
    <w:p>
      <w:pPr>
        <w:pStyle w:val="ListParagraph"/>
        <w:numPr>
          <w:ilvl w:val="0"/>
          <w:numId w:val="2"/>
        </w:numPr>
        <w:spacing w:after="25"/>
      </w:pPr>
      <w:r>
        <w:rPr>
          <w:b/>
          <w:bCs/>
        </w:rPr>
        <w:t xml:space="preserve">Regresión descartada: </w:t>
      </w:r>
      <w:r>
        <w:t xml:space="preserve">su tendencia determinística global no se adapta a cambios de régimen y deja autocorrelación en los residuales.</w:t>
      </w:r>
    </w:p>
    <w:sectPr>
      <w:pgSz w:w="12240" w:h="15840" w:orient="portrait"/>
      <w:pgMar w:top="620" w:right="850" w:bottom="6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50" w:before="130"/>
      <w:outlineLvl w:val="1"/>
    </w:pPr>
    <w:rPr>
      <w:rFonts w:ascii="Calibri" w:cs="Calibri" w:eastAsia="Calibri" w:hAnsi="Calibri"/>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f95892b45376893b3300577d591c753945b3a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2026-06-17T05:51:27.417Z</dcterms:created>
  <dcterms:modified xsi:type="dcterms:W3CDTF">2026-06-17T05:51:27.417Z</dcterms:modified>
</cp:coreProperties>
</file>

<file path=docProps/custom.xml><?xml version="1.0" encoding="utf-8"?>
<Properties xmlns="http://schemas.openxmlformats.org/officeDocument/2006/custom-properties" xmlns:vt="http://schemas.openxmlformats.org/officeDocument/2006/docPropsVTypes"/>
</file>