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b/>
          <w:color w:val="0E7490"/>
          <w:sz w:val="22"/>
        </w:rPr>
        <w:t>STRATEGIC PLAN</w:t>
      </w:r>
    </w:p>
    <w:p>
      <w:pPr>
        <w:pStyle w:val="Title"/>
      </w:pPr>
      <w:r>
        <w:t>Mavambo Foods</w:t>
      </w:r>
    </w:p>
    <w:p>
      <w:r>
        <w:rPr>
          <w:i/>
        </w:rPr>
        <w:t>2026-2029</w:t>
      </w:r>
    </w:p>
    <w:p>
      <w:r>
        <w:t>This strategic plan sets the direction for Mavambo Foods over 2026-2029. It converts the stated vision into focused priorities, measurable outcomes, accountable initiatives, and a practical review rhythm.</w:t>
      </w:r>
    </w:p>
    <w:p>
      <w:r>
        <w:br w:type="page"/>
      </w:r>
    </w:p>
    <w:p>
      <w:pPr>
        <w:pStyle w:val="Heading1"/>
      </w:pPr>
      <w:r>
        <w:t>1. Strategic foundation</w:t>
      </w:r>
    </w:p>
    <w:p>
      <w:pPr>
        <w:pStyle w:val="Heading2"/>
      </w:pPr>
      <w:r>
        <w:t>Current position</w:t>
      </w:r>
    </w:p>
    <w:p>
      <w:r>
        <w:t>Growing food processor with strong local sourcing and limited distribution.</w:t>
      </w:r>
    </w:p>
    <w:p>
      <w:pPr>
        <w:pStyle w:val="Heading2"/>
      </w:pPr>
      <w:r>
        <w:t>Vision</w:t>
      </w:r>
    </w:p>
    <w:p>
      <w:r>
        <w:t>Become a trusted regional nutritious foods brand within five years.</w:t>
      </w:r>
    </w:p>
    <w:p>
      <w:pPr>
        <w:pStyle w:val="Heading2"/>
      </w:pPr>
      <w:r>
        <w:t>Mission</w:t>
      </w:r>
    </w:p>
    <w:p>
      <w:r>
        <w:t>Make affordable nutritious grain foods using reliable local supply chains.</w:t>
      </w:r>
    </w:p>
    <w:p>
      <w:pPr>
        <w:pStyle w:val="Heading2"/>
      </w:pPr>
      <w:r>
        <w:t>Guiding values</w:t>
      </w:r>
    </w:p>
    <w:p>
      <w:pPr>
        <w:pStyle w:val="ListBullet"/>
      </w:pPr>
      <w:r>
        <w:t>Customer value</w:t>
      </w:r>
    </w:p>
    <w:p>
      <w:pPr>
        <w:pStyle w:val="ListBullet"/>
      </w:pPr>
      <w:r>
        <w:t>Accountability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2. Strategic context</w:t>
      </w:r>
    </w:p>
    <w:p>
      <w:r>
        <w:t>Retail competition, input price volatility, and changing customer preferences.</w:t>
      </w:r>
    </w:p>
    <w:p>
      <w:pPr>
        <w:pStyle w:val="Heading2"/>
      </w:pPr>
      <w:r>
        <w:t>Key stakeholders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Employees</w:t>
      </w:r>
    </w:p>
    <w:p>
      <w:pPr>
        <w:pStyle w:val="ListBullet"/>
      </w:pPr>
      <w:r>
        <w:t>Farmers</w:t>
      </w:r>
    </w:p>
    <w:p>
      <w:pPr>
        <w:pStyle w:val="ListBullet"/>
      </w:pPr>
      <w:r>
        <w:t>Retailers</w:t>
      </w:r>
    </w:p>
    <w:p>
      <w:pPr>
        <w:pStyle w:val="ListBullet"/>
      </w:pPr>
      <w:r>
        <w:t>Funders</w:t>
      </w:r>
    </w:p>
    <w:p>
      <w:pPr>
        <w:pStyle w:val="Heading2"/>
      </w:pPr>
      <w:r>
        <w:t>Strengths</w:t>
      </w:r>
    </w:p>
    <w:p>
      <w:pPr>
        <w:pStyle w:val="ListBullet"/>
      </w:pPr>
      <w:r>
        <w:t>Established knowledge and capabilities described in the current-position assessment</w:t>
      </w:r>
    </w:p>
    <w:p>
      <w:pPr>
        <w:pStyle w:val="Heading2"/>
      </w:pPr>
      <w:r>
        <w:t>Weaknesses</w:t>
      </w:r>
    </w:p>
    <w:p>
      <w:pPr>
        <w:pStyle w:val="ListBullet"/>
      </w:pPr>
      <w:r>
        <w:t>Resource and capability gaps require prioritisation</w:t>
      </w:r>
    </w:p>
    <w:p>
      <w:pPr>
        <w:pStyle w:val="Heading2"/>
      </w:pPr>
      <w:r>
        <w:t>Opportunities</w:t>
      </w:r>
    </w:p>
    <w:p>
      <w:pPr>
        <w:pStyle w:val="ListBullet"/>
      </w:pPr>
      <w:r>
        <w:t>Focused execution against the selected strategic priorities</w:t>
      </w:r>
    </w:p>
    <w:p>
      <w:pPr>
        <w:pStyle w:val="Heading2"/>
      </w:pPr>
      <w:r>
        <w:t>Threats</w:t>
      </w:r>
    </w:p>
    <w:p>
      <w:pPr>
        <w:pStyle w:val="ListBullet"/>
      </w:pPr>
      <w:r>
        <w:t>Input price volatility</w:t>
      </w:r>
    </w:p>
    <w:p>
      <w:pPr>
        <w:pStyle w:val="ListBullet"/>
      </w:pPr>
      <w:r>
        <w:t>Equipment downtime</w:t>
      </w:r>
    </w:p>
    <w:p>
      <w:pPr>
        <w:pStyle w:val="ListBullet"/>
      </w:pPr>
      <w:r>
        <w:t>Slow retail adoption</w:t>
      </w:r>
    </w:p>
    <w:p>
      <w:pPr>
        <w:pStyle w:val="Heading1"/>
      </w:pPr>
      <w:r>
        <w:t>3. Strategic priorities and objectives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944"/>
          </w:tcPr>
          <w:p>
            <w:r>
              <w:t>Priority</w:t>
            </w:r>
          </w:p>
        </w:tc>
        <w:tc>
          <w:tcPr>
            <w:tcW w:type="dxa" w:w="3384"/>
          </w:tcPr>
          <w:p>
            <w:r>
              <w:t>Objective and initiatives</w:t>
            </w:r>
          </w:p>
        </w:tc>
        <w:tc>
          <w:tcPr>
            <w:tcW w:type="dxa" w:w="2520"/>
          </w:tcPr>
          <w:p>
            <w:r>
              <w:t>Measures</w:t>
            </w:r>
          </w:p>
        </w:tc>
        <w:tc>
          <w:tcPr>
            <w:tcW w:type="dxa" w:w="1512"/>
          </w:tcPr>
          <w:p>
            <w:r>
              <w:t>Owner / timing</w:t>
            </w:r>
          </w:p>
        </w:tc>
      </w:tr>
      <w:tr>
        <w:tc>
          <w:tcPr>
            <w:tcW w:type="dxa" w:w="1944"/>
          </w:tcPr>
          <w:p>
            <w:r>
              <w:t>Expand distribution</w:t>
            </w:r>
          </w:p>
        </w:tc>
        <w:tc>
          <w:tcPr>
            <w:tcW w:type="dxa" w:w="3384"/>
          </w:tcPr>
          <w:p>
            <w:r>
              <w:t>Deliver measurable progress in expand distribution.</w:t>
              <w:br/>
              <w:t>Define the expand distribution workplan</w:t>
              <w:br/>
              <w:t>Assign an accountable owner</w:t>
              <w:br/>
              <w:t>Review progress quarterly</w:t>
            </w:r>
          </w:p>
        </w:tc>
        <w:tc>
          <w:tcPr>
            <w:tcW w:type="dxa" w:w="2520"/>
          </w:tcPr>
          <w:p>
            <w:r>
              <w:t>Baseline confirmed</w:t>
              <w:br/>
              <w:t>Quarterly target tracked</w:t>
              <w:br/>
              <w:t>Owner reports progress</w:t>
            </w:r>
          </w:p>
        </w:tc>
        <w:tc>
          <w:tcPr>
            <w:tcW w:type="dxa" w:w="1512"/>
          </w:tcPr>
          <w:p>
            <w:r>
              <w:t>Executive team</w:t>
              <w:br/>
              <w:t>2026-2029</w:t>
            </w:r>
          </w:p>
        </w:tc>
      </w:tr>
      <w:tr>
        <w:tc>
          <w:tcPr>
            <w:tcW w:type="dxa" w:w="1944"/>
          </w:tcPr>
          <w:p>
            <w:r>
              <w:t>Improve production reliability</w:t>
            </w:r>
          </w:p>
        </w:tc>
        <w:tc>
          <w:tcPr>
            <w:tcW w:type="dxa" w:w="3384"/>
          </w:tcPr>
          <w:p>
            <w:r>
              <w:t>Deliver measurable progress in improve production reliability.</w:t>
              <w:br/>
              <w:t>Define the improve production reliability workplan</w:t>
              <w:br/>
              <w:t>Assign an accountable owner</w:t>
              <w:br/>
              <w:t>Review progress quarterly</w:t>
            </w:r>
          </w:p>
        </w:tc>
        <w:tc>
          <w:tcPr>
            <w:tcW w:type="dxa" w:w="2520"/>
          </w:tcPr>
          <w:p>
            <w:r>
              <w:t>Baseline confirmed</w:t>
              <w:br/>
              <w:t>Quarterly target tracked</w:t>
              <w:br/>
              <w:t>Owner reports progress</w:t>
            </w:r>
          </w:p>
        </w:tc>
        <w:tc>
          <w:tcPr>
            <w:tcW w:type="dxa" w:w="1512"/>
          </w:tcPr>
          <w:p>
            <w:r>
              <w:t>Executive team</w:t>
              <w:br/>
              <w:t>2026-2029</w:t>
            </w:r>
          </w:p>
        </w:tc>
      </w:tr>
      <w:tr>
        <w:tc>
          <w:tcPr>
            <w:tcW w:type="dxa" w:w="1944"/>
          </w:tcPr>
          <w:p>
            <w:r>
              <w:t>Build the brand</w:t>
            </w:r>
          </w:p>
        </w:tc>
        <w:tc>
          <w:tcPr>
            <w:tcW w:type="dxa" w:w="3384"/>
          </w:tcPr>
          <w:p>
            <w:r>
              <w:t>Deliver measurable progress in build the brand.</w:t>
              <w:br/>
              <w:t>Define the build the brand workplan</w:t>
              <w:br/>
              <w:t>Assign an accountable owner</w:t>
              <w:br/>
              <w:t>Review progress quarterly</w:t>
            </w:r>
          </w:p>
        </w:tc>
        <w:tc>
          <w:tcPr>
            <w:tcW w:type="dxa" w:w="2520"/>
          </w:tcPr>
          <w:p>
            <w:r>
              <w:t>Baseline confirmed</w:t>
              <w:br/>
              <w:t>Quarterly target tracked</w:t>
              <w:br/>
              <w:t>Owner reports progress</w:t>
            </w:r>
          </w:p>
        </w:tc>
        <w:tc>
          <w:tcPr>
            <w:tcW w:type="dxa" w:w="1512"/>
          </w:tcPr>
          <w:p>
            <w:r>
              <w:t>Executive team</w:t>
              <w:br/>
              <w:t>2026-2029</w:t>
            </w:r>
          </w:p>
        </w:tc>
      </w:tr>
    </w:tbl>
    <w:p>
      <w:pPr>
        <w:pStyle w:val="Heading1"/>
      </w:pPr>
      <w:r>
        <w:t>4. Implementation and resources</w:t>
      </w:r>
    </w:p>
    <w:p>
      <w:r>
        <w:t>Translate each priority into a funded annual operating plan. Confirm owners, baselines, quarterly targets, dependencies, and decision rights before execution begins.</w:t>
      </w:r>
    </w:p>
    <w:p>
      <w:pPr>
        <w:pStyle w:val="Heading2"/>
      </w:pPr>
      <w:r>
        <w:t>Resource implications</w:t>
      </w:r>
    </w:p>
    <w:p>
      <w:r>
        <w:t>Experienced production team; limited working capital; basic production line</w:t>
      </w:r>
    </w:p>
    <w:p>
      <w:pPr>
        <w:pStyle w:val="Heading2"/>
      </w:pPr>
      <w:r>
        <w:t>Governance and review</w:t>
      </w:r>
    </w:p>
    <w:p>
      <w:r>
        <w:t>The leadership team owns the strategy. Priority owners report monthly, leadership reviews quarterly, and the full plan is refreshed annually when evidence or operating conditions change.</w:t>
      </w:r>
    </w:p>
    <w:p>
      <w:pPr>
        <w:pStyle w:val="Heading1"/>
      </w:pPr>
      <w:r>
        <w:t>5. Strategic risks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</w:tcPr>
          <w:p>
            <w:r>
              <w:t>Risk</w:t>
            </w:r>
          </w:p>
        </w:tc>
        <w:tc>
          <w:tcPr>
            <w:tcW w:type="dxa" w:w="4824"/>
          </w:tcPr>
          <w:p>
            <w:r>
              <w:t>Response and control</w:t>
            </w:r>
          </w:p>
        </w:tc>
      </w:tr>
      <w:tr>
        <w:tc>
          <w:tcPr>
            <w:tcW w:type="dxa" w:w="3456"/>
          </w:tcPr>
          <w:p>
            <w:r>
              <w:t>Input price volatility</w:t>
            </w:r>
          </w:p>
        </w:tc>
        <w:tc>
          <w:tcPr>
            <w:tcW w:type="dxa" w:w="5904"/>
          </w:tcPr>
          <w:p>
            <w:r>
              <w:t>Assign an owner, early-warning indicator, mitigation action, and quarterly review.</w:t>
            </w:r>
          </w:p>
        </w:tc>
      </w:tr>
      <w:tr>
        <w:tc>
          <w:tcPr>
            <w:tcW w:type="dxa" w:w="3456"/>
          </w:tcPr>
          <w:p>
            <w:r>
              <w:t>Equipment downtime</w:t>
            </w:r>
          </w:p>
        </w:tc>
        <w:tc>
          <w:tcPr>
            <w:tcW w:type="dxa" w:w="5904"/>
          </w:tcPr>
          <w:p>
            <w:r>
              <w:t>Assign an owner, early-warning indicator, mitigation action, and quarterly review.</w:t>
            </w:r>
          </w:p>
        </w:tc>
      </w:tr>
      <w:tr>
        <w:tc>
          <w:tcPr>
            <w:tcW w:type="dxa" w:w="3456"/>
          </w:tcPr>
          <w:p>
            <w:r>
              <w:t>Slow retail adoption</w:t>
            </w:r>
          </w:p>
        </w:tc>
        <w:tc>
          <w:tcPr>
            <w:tcW w:type="dxa" w:w="5904"/>
          </w:tcPr>
          <w:p>
            <w:r>
              <w:t>Assign an owner, early-warning indicator, mitigation action, and quarterly review.</w:t>
            </w:r>
          </w:p>
        </w:tc>
      </w:tr>
    </w:tbl>
    <w:p>
      <w:pPr>
        <w:pStyle w:val="Heading1"/>
      </w:pPr>
      <w:r>
        <w:t>6. Immediate next steps</w:t>
      </w:r>
    </w:p>
    <w:p>
      <w:pPr>
        <w:pStyle w:val="ListBullet"/>
      </w:pPr>
      <w:r>
        <w:t>Validate assumptions and baselines with the leadership team and key stakeholders.</w:t>
      </w:r>
    </w:p>
    <w:p>
      <w:pPr>
        <w:pStyle w:val="ListBullet"/>
      </w:pPr>
      <w:r>
        <w:t>Confirm objective owners, measures, annual targets, budgets, and dependencies.</w:t>
      </w:r>
    </w:p>
    <w:p>
      <w:pPr>
        <w:pStyle w:val="ListBullet"/>
      </w:pPr>
      <w:r>
        <w:t>Translate this plan into a 12-month operating plan and quarterly review calendar.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strategic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8"/>
      </w:rPr>
      <w:t>Mavambo Foods | Strategic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B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