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</w:pPr>
      <w:r>
        <w:rPr>
          <w:b/>
          <w:color w:val="D95823"/>
          <w:sz w:val="22"/>
        </w:rPr>
        <w:t>STRATEGIC PLAN</w:t>
      </w:r>
    </w:p>
    <w:p>
      <w:pPr>
        <w:pStyle w:val="Title"/>
      </w:pPr>
      <w:r>
        <w:t>Test Company</w:t>
      </w:r>
    </w:p>
    <w:p>
      <w:pPr>
        <w:pStyle w:val="Subtitle"/>
      </w:pPr>
      <w:r>
        <w:t>2027-2030 Strategic Plan</w:t>
      </w:r>
    </w:p>
    <w:p>
      <w:pPr>
        <w:spacing w:before="400"/>
      </w:pPr>
      <w:r>
        <w:rPr>
          <w:color w:val="64748B"/>
          <w:sz w:val="18"/>
        </w:rPr>
        <w:t>Prepared by Smart Incubation  |  June 2026</w:t>
      </w:r>
    </w:p>
    <w:p>
      <w:pPr>
        <w:spacing w:before="1280"/>
      </w:pPr>
      <w:r>
        <w:rPr>
          <w:b/>
          <w:color w:val="D95823"/>
          <w:sz w:val="20"/>
        </w:rPr>
        <w:t>FROM DIRECTION TO EXECUTION</w:t>
      </w:r>
    </w:p>
    <w:p>
      <w:r>
        <w:t>Test Company will expand its market reach, create jobs in its community, and strengthen reliable service delivery through focused execution and accountable leadership.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ind w:left="115"/>
      </w:pPr>
      <w:r>
        <w:rPr>
          <w:b/>
        </w:rPr>
        <w:t xml:space="preserve">1.  </w:t>
      </w:r>
      <w:r>
        <w:t>Strategic foundation</w:t>
      </w:r>
    </w:p>
    <w:p>
      <w:pPr>
        <w:ind w:left="115"/>
      </w:pPr>
      <w:r>
        <w:rPr>
          <w:b/>
        </w:rPr>
        <w:t xml:space="preserve">2.  </w:t>
      </w:r>
      <w:r>
        <w:t>Strategic context and SWOT</w:t>
      </w:r>
    </w:p>
    <w:p>
      <w:pPr>
        <w:ind w:left="115"/>
      </w:pPr>
      <w:r>
        <w:rPr>
          <w:b/>
        </w:rPr>
        <w:t xml:space="preserve">3.  </w:t>
      </w:r>
      <w:r>
        <w:t>Strategic priorities and objectives</w:t>
      </w:r>
    </w:p>
    <w:p>
      <w:pPr>
        <w:ind w:left="115"/>
      </w:pPr>
      <w:r>
        <w:rPr>
          <w:b/>
        </w:rPr>
        <w:t xml:space="preserve">4.  </w:t>
      </w:r>
      <w:r>
        <w:t>Implementation roadmap</w:t>
      </w:r>
    </w:p>
    <w:p>
      <w:pPr>
        <w:ind w:left="115"/>
      </w:pPr>
      <w:r>
        <w:rPr>
          <w:b/>
        </w:rPr>
        <w:t xml:space="preserve">5.  </w:t>
      </w:r>
      <w:r>
        <w:t>Performance scorecard</w:t>
      </w:r>
    </w:p>
    <w:p>
      <w:pPr>
        <w:ind w:left="115"/>
      </w:pPr>
      <w:r>
        <w:rPr>
          <w:b/>
        </w:rPr>
        <w:t xml:space="preserve">6.  </w:t>
      </w:r>
      <w:r>
        <w:t>Resources and governance</w:t>
      </w:r>
    </w:p>
    <w:p>
      <w:pPr>
        <w:ind w:left="115"/>
      </w:pPr>
      <w:r>
        <w:rPr>
          <w:b/>
        </w:rPr>
        <w:t xml:space="preserve">7.  </w:t>
      </w:r>
      <w:r>
        <w:t>Strategic risks</w:t>
      </w:r>
    </w:p>
    <w:p>
      <w:pPr>
        <w:ind w:left="115"/>
      </w:pPr>
      <w:r>
        <w:rPr>
          <w:b/>
        </w:rPr>
        <w:t xml:space="preserve">8.  </w:t>
      </w:r>
      <w:r>
        <w:t>Immediate next steps</w:t>
      </w:r>
    </w:p>
    <w:p>
      <w:r>
        <w:br w:type="page"/>
      </w:r>
    </w:p>
    <w:p>
      <w:pPr>
        <w:pStyle w:val="Heading1"/>
      </w:pPr>
      <w:r>
        <w:t>1. Strategic foundation</w:t>
      </w:r>
    </w:p>
    <w:p>
      <w:pPr>
        <w:pStyle w:val="Heading2"/>
      </w:pPr>
      <w:r>
        <w:t>Current position</w:t>
      </w:r>
    </w:p>
    <w:p>
      <w:r>
        <w:t>The business serves SMEs with reliable systems and is preparing for disciplined growth.</w:t>
      </w:r>
    </w:p>
    <w:p>
      <w:pPr>
        <w:pStyle w:val="Heading2"/>
      </w:pPr>
      <w:r>
        <w:t>Vision</w:t>
      </w:r>
    </w:p>
    <w:p>
      <w:r>
        <w:t>To serve more customers while creating sustainable employment in the local community.</w:t>
      </w:r>
    </w:p>
    <w:p>
      <w:pPr>
        <w:pStyle w:val="Heading2"/>
      </w:pPr>
      <w:r>
        <w:t>Mission</w:t>
      </w:r>
    </w:p>
    <w:p>
      <w:r>
        <w:t>To deliver reliable systems that help SMEs operate and grow with confidence.</w:t>
      </w:r>
    </w:p>
    <w:p>
      <w:pPr>
        <w:pStyle w:val="Heading2"/>
      </w:pPr>
      <w:r>
        <w:t>Guiding values</w:t>
      </w:r>
    </w:p>
    <w:p>
      <w:pPr>
        <w:pStyle w:val="ListBullet"/>
      </w:pPr>
      <w:r>
        <w:t>Integrity</w:t>
      </w:r>
    </w:p>
    <w:p>
      <w:pPr>
        <w:pStyle w:val="ListBullet"/>
      </w:pPr>
      <w:r>
        <w:t>Honesty</w:t>
      </w:r>
    </w:p>
    <w:p>
      <w:pPr>
        <w:pStyle w:val="ListBullet"/>
      </w:pPr>
      <w:r>
        <w:t>Trust</w:t>
      </w:r>
    </w:p>
    <w:p>
      <w:pPr>
        <w:pStyle w:val="ListBullet"/>
      </w:pPr>
      <w:r>
        <w:t>Customer commitment</w:t>
      </w:r>
    </w:p>
    <w:p>
      <w:pPr>
        <w:pStyle w:val="Heading1"/>
      </w:pPr>
      <w:r>
        <w:t>2. Strategic context</w:t>
      </w:r>
    </w:p>
    <w:p>
      <w:r>
        <w:t>Demand is growing, while customers increasingly expect dependable support, responsive service, and solutions that evolve with their needs.</w:t>
      </w:r>
    </w:p>
    <w:p>
      <w:pPr>
        <w:pStyle w:val="Heading2"/>
      </w:pPr>
      <w:r>
        <w:t>Key stakeholders</w:t>
      </w:r>
    </w:p>
    <w:p>
      <w:pPr>
        <w:pStyle w:val="ListBullet"/>
      </w:pPr>
      <w:r>
        <w:t>SME customers</w:t>
      </w:r>
    </w:p>
    <w:p>
      <w:pPr>
        <w:pStyle w:val="ListBullet"/>
      </w:pPr>
      <w:r>
        <w:t>Employees</w:t>
      </w:r>
    </w:p>
    <w:p>
      <w:pPr>
        <w:pStyle w:val="ListBullet"/>
      </w:pPr>
      <w:r>
        <w:t>Community partners</w:t>
      </w:r>
    </w:p>
    <w:p>
      <w:pPr>
        <w:pStyle w:val="ListBullet"/>
      </w:pPr>
      <w:r>
        <w:t>Technology partners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7F1E8"/>
          </w:tcPr>
          <w:p>
            <w:r>
              <w:rPr>
                <w:b/>
                <w:color w:val="1A364A"/>
              </w:rPr>
              <w:t>STRENGTHS</w:t>
            </w:r>
          </w:p>
          <w:p>
            <w:pPr>
              <w:pStyle w:val="ListBullet"/>
            </w:pPr>
            <w:r>
              <w:t>Trusted SME relationships</w:t>
            </w:r>
          </w:p>
          <w:p>
            <w:pPr>
              <w:pStyle w:val="ListBullet"/>
            </w:pPr>
            <w:r>
              <w:t>Reliable delivery</w:t>
            </w:r>
          </w:p>
        </w:tc>
        <w:tc>
          <w:tcPr>
            <w:tcW w:type="dxa" w:w="4939"/>
            <w:shd w:fill="F8E6E3"/>
          </w:tcPr>
          <w:p>
            <w:r>
              <w:rPr>
                <w:b/>
                <w:color w:val="1A364A"/>
              </w:rPr>
              <w:t>WEAKNESSES</w:t>
            </w:r>
          </w:p>
          <w:p>
            <w:pPr>
              <w:pStyle w:val="ListBullet"/>
            </w:pPr>
            <w:r>
              <w:t>Limited market reach</w:t>
            </w:r>
          </w:p>
          <w:p>
            <w:pPr>
              <w:pStyle w:val="ListBullet"/>
            </w:pPr>
            <w:r>
              <w:t>Processes need scaling</w:t>
            </w:r>
          </w:p>
        </w:tc>
      </w:tr>
      <w:tr>
        <w:tc>
          <w:tcPr>
            <w:tcW w:type="dxa" w:w="4939"/>
            <w:shd w:fill="EEF4DA"/>
          </w:tcPr>
          <w:p>
            <w:r>
              <w:rPr>
                <w:b/>
                <w:color w:val="1A364A"/>
              </w:rPr>
              <w:t>OPPORTUNITIES</w:t>
            </w:r>
          </w:p>
          <w:p>
            <w:pPr>
              <w:pStyle w:val="ListBullet"/>
            </w:pPr>
            <w:r>
              <w:t>New target areas</w:t>
            </w:r>
          </w:p>
          <w:p>
            <w:pPr>
              <w:pStyle w:val="ListBullet"/>
            </w:pPr>
            <w:r>
              <w:t>Partnership-led growth</w:t>
            </w:r>
          </w:p>
        </w:tc>
        <w:tc>
          <w:tcPr>
            <w:tcW w:type="dxa" w:w="4939"/>
            <w:shd w:fill="F5E2E2"/>
          </w:tcPr>
          <w:p>
            <w:r>
              <w:rPr>
                <w:b/>
                <w:color w:val="1A364A"/>
              </w:rPr>
              <w:t>THREATS</w:t>
            </w:r>
          </w:p>
          <w:p>
            <w:pPr>
              <w:pStyle w:val="ListBullet"/>
            </w:pPr>
            <w:r>
              <w:t>Competitive pressure</w:t>
            </w:r>
          </w:p>
          <w:p>
            <w:pPr>
              <w:pStyle w:val="ListBullet"/>
            </w:pPr>
            <w:r>
              <w:t>Execution capacity</w:t>
            </w:r>
          </w:p>
        </w:tc>
      </w:tr>
    </w:tbl>
    <w:p>
      <w:pPr>
        <w:pStyle w:val="Heading1"/>
      </w:pPr>
      <w:r>
        <w:t>3. Strategic priorities and objectives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944"/>
          </w:tcPr>
          <w:p>
            <w:r>
              <w:t>Priority</w:t>
            </w:r>
          </w:p>
        </w:tc>
        <w:tc>
          <w:tcPr>
            <w:tcW w:type="dxa" w:w="3384"/>
          </w:tcPr>
          <w:p>
            <w:r>
              <w:t>Objective and initiatives</w:t>
            </w:r>
          </w:p>
        </w:tc>
        <w:tc>
          <w:tcPr>
            <w:tcW w:type="dxa" w:w="2520"/>
          </w:tcPr>
          <w:p>
            <w:r>
              <w:t>Measures</w:t>
            </w:r>
          </w:p>
        </w:tc>
        <w:tc>
          <w:tcPr>
            <w:tcW w:type="dxa" w:w="1512"/>
          </w:tcPr>
          <w:p>
            <w:r>
              <w:t>Owner / timing</w:t>
            </w:r>
          </w:p>
        </w:tc>
      </w:tr>
      <w:tr>
        <w:tc>
          <w:tcPr>
            <w:tcW w:type="dxa" w:w="1944"/>
          </w:tcPr>
          <w:p>
            <w:r>
              <w:t>Market growth</w:t>
            </w:r>
          </w:p>
        </w:tc>
        <w:tc>
          <w:tcPr>
            <w:tcW w:type="dxa" w:w="3384"/>
          </w:tcPr>
          <w:p>
            <w:r>
              <w:t>Grow the customer base in key target areas.</w:t>
              <w:br/>
              <w:t>Define priority segments</w:t>
              <w:br/>
              <w:t>Launch targeted outreach</w:t>
            </w:r>
          </w:p>
        </w:tc>
        <w:tc>
          <w:tcPr>
            <w:tcW w:type="dxa" w:w="2520"/>
          </w:tcPr>
          <w:p>
            <w:r>
              <w:t>Qualified leads</w:t>
              <w:br/>
              <w:t>New customers</w:t>
              <w:br/>
              <w:t>Retention rate</w:t>
            </w:r>
          </w:p>
        </w:tc>
        <w:tc>
          <w:tcPr>
            <w:tcW w:type="dxa" w:w="1512"/>
          </w:tcPr>
          <w:p>
            <w:r>
              <w:t>Commercial lead</w:t>
              <w:br/>
              <w:t>Year 1-3</w:t>
            </w:r>
          </w:p>
        </w:tc>
      </w:tr>
      <w:tr>
        <w:tc>
          <w:tcPr>
            <w:tcW w:type="dxa" w:w="1944"/>
          </w:tcPr>
          <w:p>
            <w:r>
              <w:t>Service quality</w:t>
            </w:r>
          </w:p>
        </w:tc>
        <w:tc>
          <w:tcPr>
            <w:tcW w:type="dxa" w:w="3384"/>
          </w:tcPr>
          <w:p>
            <w:r>
              <w:t>Improve customer satisfaction through reliable delivery.</w:t>
              <w:br/>
              <w:t>Standardise service processes</w:t>
              <w:br/>
              <w:t>Introduce feedback reviews</w:t>
            </w:r>
          </w:p>
        </w:tc>
        <w:tc>
          <w:tcPr>
            <w:tcW w:type="dxa" w:w="2520"/>
          </w:tcPr>
          <w:p>
            <w:r>
              <w:t>Satisfaction score</w:t>
              <w:br/>
              <w:t>Resolution time</w:t>
            </w:r>
          </w:p>
        </w:tc>
        <w:tc>
          <w:tcPr>
            <w:tcW w:type="dxa" w:w="1512"/>
          </w:tcPr>
          <w:p>
            <w:r>
              <w:t>Operations lead</w:t>
              <w:br/>
              <w:t>Year 1-2</w:t>
            </w:r>
          </w:p>
        </w:tc>
      </w:tr>
      <w:tr>
        <w:tc>
          <w:tcPr>
            <w:tcW w:type="dxa" w:w="1944"/>
          </w:tcPr>
          <w:p>
            <w:r>
              <w:t>Operational efficiency</w:t>
            </w:r>
          </w:p>
        </w:tc>
        <w:tc>
          <w:tcPr>
            <w:tcW w:type="dxa" w:w="3384"/>
          </w:tcPr>
          <w:p>
            <w:r>
              <w:t>Strengthen systems and team performance.</w:t>
              <w:br/>
              <w:t>Document core workflows</w:t>
              <w:br/>
              <w:t>Build team capability</w:t>
            </w:r>
          </w:p>
        </w:tc>
        <w:tc>
          <w:tcPr>
            <w:tcW w:type="dxa" w:w="2520"/>
          </w:tcPr>
          <w:p>
            <w:r>
              <w:t>Cycle time</w:t>
              <w:br/>
              <w:t>Quality rate</w:t>
            </w:r>
          </w:p>
        </w:tc>
        <w:tc>
          <w:tcPr>
            <w:tcW w:type="dxa" w:w="1512"/>
          </w:tcPr>
          <w:p>
            <w:r>
              <w:t>Executive team</w:t>
              <w:br/>
              <w:t>Year 1-3</w:t>
            </w:r>
          </w:p>
        </w:tc>
      </w:tr>
    </w:tbl>
    <w:p>
      <w:pPr>
        <w:pStyle w:val="Heading1"/>
      </w:pPr>
      <w:r>
        <w:t>4. Implementation roadmap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shd w:fill="1A364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976"/>
            <w:shd w:fill="1A364A"/>
          </w:tcPr>
          <w:p>
            <w:r>
              <w:rPr>
                <w:b/>
                <w:color w:val="FFFFFF"/>
              </w:rPr>
              <w:t>Key initiative</w:t>
            </w:r>
          </w:p>
        </w:tc>
        <w:tc>
          <w:tcPr>
            <w:tcW w:type="dxa" w:w="1976"/>
            <w:shd w:fill="1A364A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76"/>
            <w:shd w:fill="1A364A"/>
          </w:tcPr>
          <w:p>
            <w:r>
              <w:rPr>
                <w:b/>
                <w:color w:val="FFFFFF"/>
              </w:rPr>
              <w:t>Timing</w:t>
            </w:r>
          </w:p>
        </w:tc>
        <w:tc>
          <w:tcPr>
            <w:tcW w:type="dxa" w:w="1976"/>
            <w:shd w:fill="1A364A"/>
          </w:tcPr>
          <w:p>
            <w:r>
              <w:rPr>
                <w:b/>
                <w:color w:val="FFFFFF"/>
              </w:rPr>
              <w:t>Success measure</w:t>
            </w:r>
          </w:p>
        </w:tc>
      </w:tr>
      <w:tr>
        <w:tc>
          <w:tcPr>
            <w:tcW w:type="dxa" w:w="1976"/>
          </w:tcPr>
          <w:p>
            <w:r>
              <w:t>Market growth</w:t>
            </w:r>
          </w:p>
        </w:tc>
        <w:tc>
          <w:tcPr>
            <w:tcW w:type="dxa" w:w="1976"/>
          </w:tcPr>
          <w:p>
            <w:r>
              <w:t>Define priority segments</w:t>
            </w:r>
          </w:p>
        </w:tc>
        <w:tc>
          <w:tcPr>
            <w:tcW w:type="dxa" w:w="1976"/>
          </w:tcPr>
          <w:p>
            <w:r>
              <w:t>Commercial lead</w:t>
            </w:r>
          </w:p>
        </w:tc>
        <w:tc>
          <w:tcPr>
            <w:tcW w:type="dxa" w:w="1976"/>
          </w:tcPr>
          <w:p>
            <w:r>
              <w:t>Year 1-3</w:t>
            </w:r>
          </w:p>
        </w:tc>
        <w:tc>
          <w:tcPr>
            <w:tcW w:type="dxa" w:w="1976"/>
          </w:tcPr>
          <w:p>
            <w:r>
              <w:t>Qualified leads; New customers; Retention rate</w:t>
            </w:r>
          </w:p>
        </w:tc>
      </w:tr>
      <w:tr>
        <w:tc>
          <w:tcPr>
            <w:tcW w:type="dxa" w:w="1976"/>
          </w:tcPr>
          <w:p>
            <w:r>
              <w:t>Market growth</w:t>
            </w:r>
          </w:p>
        </w:tc>
        <w:tc>
          <w:tcPr>
            <w:tcW w:type="dxa" w:w="1976"/>
          </w:tcPr>
          <w:p>
            <w:r>
              <w:t>Launch targeted outreach</w:t>
            </w:r>
          </w:p>
        </w:tc>
        <w:tc>
          <w:tcPr>
            <w:tcW w:type="dxa" w:w="1976"/>
          </w:tcPr>
          <w:p>
            <w:r>
              <w:t>Commercial lead</w:t>
            </w:r>
          </w:p>
        </w:tc>
        <w:tc>
          <w:tcPr>
            <w:tcW w:type="dxa" w:w="1976"/>
          </w:tcPr>
          <w:p>
            <w:r>
              <w:t>Year 1-3</w:t>
            </w:r>
          </w:p>
        </w:tc>
        <w:tc>
          <w:tcPr>
            <w:tcW w:type="dxa" w:w="1976"/>
          </w:tcPr>
          <w:p>
            <w:r>
              <w:t>Qualified leads; New customers; Retention rate</w:t>
            </w:r>
          </w:p>
        </w:tc>
      </w:tr>
      <w:tr>
        <w:tc>
          <w:tcPr>
            <w:tcW w:type="dxa" w:w="1976"/>
          </w:tcPr>
          <w:p>
            <w:r>
              <w:t>Service quality</w:t>
            </w:r>
          </w:p>
        </w:tc>
        <w:tc>
          <w:tcPr>
            <w:tcW w:type="dxa" w:w="1976"/>
          </w:tcPr>
          <w:p>
            <w:r>
              <w:t>Standardise service processes</w:t>
            </w:r>
          </w:p>
        </w:tc>
        <w:tc>
          <w:tcPr>
            <w:tcW w:type="dxa" w:w="1976"/>
          </w:tcPr>
          <w:p>
            <w:r>
              <w:t>Operations lead</w:t>
            </w:r>
          </w:p>
        </w:tc>
        <w:tc>
          <w:tcPr>
            <w:tcW w:type="dxa" w:w="1976"/>
          </w:tcPr>
          <w:p>
            <w:r>
              <w:t>Year 1-2</w:t>
            </w:r>
          </w:p>
        </w:tc>
        <w:tc>
          <w:tcPr>
            <w:tcW w:type="dxa" w:w="1976"/>
          </w:tcPr>
          <w:p>
            <w:r>
              <w:t>Satisfaction score; Resolution time</w:t>
            </w:r>
          </w:p>
        </w:tc>
      </w:tr>
      <w:tr>
        <w:tc>
          <w:tcPr>
            <w:tcW w:type="dxa" w:w="1976"/>
          </w:tcPr>
          <w:p>
            <w:r>
              <w:t>Service quality</w:t>
            </w:r>
          </w:p>
        </w:tc>
        <w:tc>
          <w:tcPr>
            <w:tcW w:type="dxa" w:w="1976"/>
          </w:tcPr>
          <w:p>
            <w:r>
              <w:t>Introduce feedback reviews</w:t>
            </w:r>
          </w:p>
        </w:tc>
        <w:tc>
          <w:tcPr>
            <w:tcW w:type="dxa" w:w="1976"/>
          </w:tcPr>
          <w:p>
            <w:r>
              <w:t>Operations lead</w:t>
            </w:r>
          </w:p>
        </w:tc>
        <w:tc>
          <w:tcPr>
            <w:tcW w:type="dxa" w:w="1976"/>
          </w:tcPr>
          <w:p>
            <w:r>
              <w:t>Year 1-2</w:t>
            </w:r>
          </w:p>
        </w:tc>
        <w:tc>
          <w:tcPr>
            <w:tcW w:type="dxa" w:w="1976"/>
          </w:tcPr>
          <w:p>
            <w:r>
              <w:t>Satisfaction score; Resolution time</w:t>
            </w:r>
          </w:p>
        </w:tc>
      </w:tr>
      <w:tr>
        <w:tc>
          <w:tcPr>
            <w:tcW w:type="dxa" w:w="1976"/>
          </w:tcPr>
          <w:p>
            <w:r>
              <w:t>Operational efficiency</w:t>
            </w:r>
          </w:p>
        </w:tc>
        <w:tc>
          <w:tcPr>
            <w:tcW w:type="dxa" w:w="1976"/>
          </w:tcPr>
          <w:p>
            <w:r>
              <w:t>Document core workflows</w:t>
            </w:r>
          </w:p>
        </w:tc>
        <w:tc>
          <w:tcPr>
            <w:tcW w:type="dxa" w:w="1976"/>
          </w:tcPr>
          <w:p>
            <w:r>
              <w:t>Executive team</w:t>
            </w:r>
          </w:p>
        </w:tc>
        <w:tc>
          <w:tcPr>
            <w:tcW w:type="dxa" w:w="1976"/>
          </w:tcPr>
          <w:p>
            <w:r>
              <w:t>Year 1-3</w:t>
            </w:r>
          </w:p>
        </w:tc>
        <w:tc>
          <w:tcPr>
            <w:tcW w:type="dxa" w:w="1976"/>
          </w:tcPr>
          <w:p>
            <w:r>
              <w:t>Cycle time; Quality rate</w:t>
            </w:r>
          </w:p>
        </w:tc>
      </w:tr>
      <w:tr>
        <w:tc>
          <w:tcPr>
            <w:tcW w:type="dxa" w:w="1976"/>
          </w:tcPr>
          <w:p>
            <w:r>
              <w:t>Operational efficiency</w:t>
            </w:r>
          </w:p>
        </w:tc>
        <w:tc>
          <w:tcPr>
            <w:tcW w:type="dxa" w:w="1976"/>
          </w:tcPr>
          <w:p>
            <w:r>
              <w:t>Build team capability</w:t>
            </w:r>
          </w:p>
        </w:tc>
        <w:tc>
          <w:tcPr>
            <w:tcW w:type="dxa" w:w="1976"/>
          </w:tcPr>
          <w:p>
            <w:r>
              <w:t>Executive team</w:t>
            </w:r>
          </w:p>
        </w:tc>
        <w:tc>
          <w:tcPr>
            <w:tcW w:type="dxa" w:w="1976"/>
          </w:tcPr>
          <w:p>
            <w:r>
              <w:t>Year 1-3</w:t>
            </w:r>
          </w:p>
        </w:tc>
        <w:tc>
          <w:tcPr>
            <w:tcW w:type="dxa" w:w="1976"/>
          </w:tcPr>
          <w:p>
            <w:r>
              <w:t>Cycle time; Quality rate</w:t>
            </w:r>
          </w:p>
        </w:tc>
      </w:tr>
    </w:tbl>
    <w:p>
      <w:pPr>
        <w:pStyle w:val="Heading1"/>
      </w:pPr>
      <w:r>
        <w:t>5. Performance scorecard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shd w:fill="D95823"/>
          </w:tcPr>
          <w:p>
            <w:r>
              <w:rPr>
                <w:b/>
                <w:color w:val="FFFFFF"/>
              </w:rPr>
              <w:t>Strategic priority</w:t>
            </w:r>
          </w:p>
        </w:tc>
        <w:tc>
          <w:tcPr>
            <w:tcW w:type="dxa" w:w="2469"/>
            <w:shd w:fill="D95823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2469"/>
            <w:shd w:fill="D95823"/>
          </w:tcPr>
          <w:p>
            <w:r>
              <w:rPr>
                <w:b/>
                <w:color w:val="FFFFFF"/>
              </w:rPr>
              <w:t>Measures</w:t>
            </w:r>
          </w:p>
        </w:tc>
        <w:tc>
          <w:tcPr>
            <w:tcW w:type="dxa" w:w="2469"/>
            <w:shd w:fill="D95823"/>
          </w:tcPr>
          <w:p>
            <w:r>
              <w:rPr>
                <w:b/>
                <w:color w:val="FFFFFF"/>
              </w:rPr>
              <w:t>Review rhythm</w:t>
            </w:r>
          </w:p>
        </w:tc>
      </w:tr>
      <w:tr>
        <w:tc>
          <w:tcPr>
            <w:tcW w:type="dxa" w:w="2469"/>
          </w:tcPr>
          <w:p>
            <w:r>
              <w:t>Market growth</w:t>
            </w:r>
          </w:p>
        </w:tc>
        <w:tc>
          <w:tcPr>
            <w:tcW w:type="dxa" w:w="2469"/>
          </w:tcPr>
          <w:p>
            <w:r>
              <w:t>Grow the customer base in key target areas.</w:t>
            </w:r>
          </w:p>
        </w:tc>
        <w:tc>
          <w:tcPr>
            <w:tcW w:type="dxa" w:w="2469"/>
          </w:tcPr>
          <w:p>
            <w:r>
              <w:t>Qualified leads; New customers; Retention rate</w:t>
            </w:r>
          </w:p>
        </w:tc>
        <w:tc>
          <w:tcPr>
            <w:tcW w:type="dxa" w:w="2469"/>
          </w:tcPr>
          <w:p>
            <w:r>
              <w:t>Quarterly</w:t>
            </w:r>
          </w:p>
        </w:tc>
      </w:tr>
      <w:tr>
        <w:tc>
          <w:tcPr>
            <w:tcW w:type="dxa" w:w="2469"/>
          </w:tcPr>
          <w:p>
            <w:r>
              <w:t>Service quality</w:t>
            </w:r>
          </w:p>
        </w:tc>
        <w:tc>
          <w:tcPr>
            <w:tcW w:type="dxa" w:w="2469"/>
          </w:tcPr>
          <w:p>
            <w:r>
              <w:t>Improve customer satisfaction through reliable delivery.</w:t>
            </w:r>
          </w:p>
        </w:tc>
        <w:tc>
          <w:tcPr>
            <w:tcW w:type="dxa" w:w="2469"/>
          </w:tcPr>
          <w:p>
            <w:r>
              <w:t>Satisfaction score; Resolution time</w:t>
            </w:r>
          </w:p>
        </w:tc>
        <w:tc>
          <w:tcPr>
            <w:tcW w:type="dxa" w:w="2469"/>
          </w:tcPr>
          <w:p>
            <w:r>
              <w:t>Quarterly</w:t>
            </w:r>
          </w:p>
        </w:tc>
      </w:tr>
      <w:tr>
        <w:tc>
          <w:tcPr>
            <w:tcW w:type="dxa" w:w="2469"/>
          </w:tcPr>
          <w:p>
            <w:r>
              <w:t>Operational efficiency</w:t>
            </w:r>
          </w:p>
        </w:tc>
        <w:tc>
          <w:tcPr>
            <w:tcW w:type="dxa" w:w="2469"/>
          </w:tcPr>
          <w:p>
            <w:r>
              <w:t>Strengthen systems and team performance.</w:t>
            </w:r>
          </w:p>
        </w:tc>
        <w:tc>
          <w:tcPr>
            <w:tcW w:type="dxa" w:w="2469"/>
          </w:tcPr>
          <w:p>
            <w:r>
              <w:t>Cycle time; Quality rate</w:t>
            </w:r>
          </w:p>
        </w:tc>
        <w:tc>
          <w:tcPr>
            <w:tcW w:type="dxa" w:w="2469"/>
          </w:tcPr>
          <w:p>
            <w:r>
              <w:t>Quarterly</w:t>
            </w:r>
          </w:p>
        </w:tc>
      </w:tr>
    </w:tbl>
    <w:p>
      <w:pPr>
        <w:pStyle w:val="Heading1"/>
      </w:pPr>
      <w:r>
        <w:t>6. Resources and governance</w:t>
      </w:r>
    </w:p>
    <w:p>
      <w:r>
        <w:t>Each priority will be translated into a funded annual operating plan with clear owners, milestones, dependencies, and quarterly decision reviews.</w:t>
      </w:r>
    </w:p>
    <w:p>
      <w:pPr>
        <w:pStyle w:val="Heading2"/>
      </w:pPr>
      <w:r>
        <w:t>Resource implications</w:t>
      </w:r>
    </w:p>
    <w:p>
      <w:r>
        <w:t>Growth requires accountable leaders, fit-for-purpose systems, staff development, partnership capacity, and disciplined budgeting.</w:t>
      </w:r>
    </w:p>
    <w:p>
      <w:pPr>
        <w:pStyle w:val="Heading2"/>
      </w:pPr>
      <w:r>
        <w:t>Governance and review</w:t>
      </w:r>
    </w:p>
    <w:p>
      <w:r>
        <w:t>The leadership team reviews delivery monthly, examines the scorecard quarterly, and refreshes the strategy annually.</w:t>
      </w:r>
    </w:p>
    <w:p>
      <w:pPr>
        <w:pStyle w:val="Heading1"/>
      </w:pPr>
      <w:r>
        <w:t>7. Strategic risks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</w:tcPr>
          <w:p>
            <w:r>
              <w:t>Risk</w:t>
            </w:r>
          </w:p>
        </w:tc>
        <w:tc>
          <w:tcPr>
            <w:tcW w:type="dxa" w:w="4939"/>
          </w:tcPr>
          <w:p>
            <w:r>
              <w:t>Response and control</w:t>
            </w:r>
          </w:p>
        </w:tc>
      </w:tr>
      <w:tr>
        <w:tc>
          <w:tcPr>
            <w:tcW w:type="dxa" w:w="3456"/>
          </w:tcPr>
          <w:p>
            <w:r>
              <w:t>Insufficient delivery capacity</w:t>
            </w:r>
          </w:p>
        </w:tc>
        <w:tc>
          <w:tcPr>
            <w:tcW w:type="dxa" w:w="5904"/>
          </w:tcPr>
          <w:p>
            <w:r>
              <w:t>Phase growth, monitor workload, and recruit ahead of demand.</w:t>
            </w:r>
          </w:p>
        </w:tc>
      </w:tr>
      <w:tr>
        <w:tc>
          <w:tcPr>
            <w:tcW w:type="dxa" w:w="3456"/>
          </w:tcPr>
          <w:p>
            <w:r>
              <w:t>Weak customer acquisition</w:t>
            </w:r>
          </w:p>
        </w:tc>
        <w:tc>
          <w:tcPr>
            <w:tcW w:type="dxa" w:w="5904"/>
          </w:tcPr>
          <w:p>
            <w:r>
              <w:t>Test channels quarterly and redirect investment using evidence.</w:t>
            </w:r>
          </w:p>
        </w:tc>
      </w:tr>
    </w:tbl>
    <w:p>
      <w:pPr>
        <w:pStyle w:val="Heading1"/>
      </w:pPr>
      <w:r>
        <w:t>8. Immediate next steps</w:t>
      </w:r>
    </w:p>
    <w:p>
      <w:pPr>
        <w:pStyle w:val="ListBullet"/>
      </w:pPr>
      <w:r>
        <w:t>Validate assumptions and baselines with the leadership team and key stakeholders.</w:t>
      </w:r>
    </w:p>
    <w:p>
      <w:pPr>
        <w:pStyle w:val="ListBullet"/>
      </w:pPr>
      <w:r>
        <w:t>Confirm objective owners, measures, annual targets, budgets, and dependencies.</w:t>
      </w:r>
    </w:p>
    <w:p>
      <w:pPr>
        <w:pStyle w:val="ListBullet"/>
      </w:pPr>
      <w:r>
        <w:t>Translate this plan into a 12-month operating plan and quarterly review calendar.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rPr>
        <w:sz w:val="16"/>
      </w:rPr>
      <w:t xml:space="preserve">  |  Confidential strategic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8"/>
      </w:rPr>
      <w:t>Test Company | Strategic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b w:val="0"/>
      <w:color w:val="262E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D958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6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A3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6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