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188D" w:rsidRDefault="00F2188D" w:rsidP="00F2188D">
      <w:pPr>
        <w:pStyle w:val="Heading1"/>
        <w:jc w:val="center"/>
      </w:pPr>
      <w:r>
        <w:t>Assignment 1 – C14337041</w:t>
      </w:r>
    </w:p>
    <w:p w:rsidR="00945C12" w:rsidRDefault="00945C12" w:rsidP="009E5F4A">
      <w:pPr>
        <w:pStyle w:val="Heading1"/>
        <w:jc w:val="center"/>
      </w:pPr>
      <w:r>
        <w:t>The Data</w:t>
      </w:r>
    </w:p>
    <w:p w:rsidR="00945C12" w:rsidRPr="00945C12" w:rsidRDefault="00945C12" w:rsidP="00945C12"/>
    <w:p w:rsidR="00945C12" w:rsidRDefault="00945C12" w:rsidP="00945C12">
      <w:pPr>
        <w:jc w:val="center"/>
      </w:pPr>
      <w:r>
        <w:t>Unless explicitly specified, all data being used has been taken from the 2011 census.</w:t>
      </w:r>
      <w:r w:rsidR="00DF45C3">
        <w:t xml:space="preserve"> Figures are also as stated.</w:t>
      </w:r>
    </w:p>
    <w:p w:rsidR="009E5F4A" w:rsidRDefault="009E5F4A" w:rsidP="009E5F4A">
      <w:pPr>
        <w:pStyle w:val="Heading1"/>
        <w:jc w:val="center"/>
      </w:pPr>
      <w:r>
        <w:t>The Map</w:t>
      </w:r>
    </w:p>
    <w:p w:rsidR="00F1596C" w:rsidRDefault="0066142F" w:rsidP="0066142F">
      <w:pPr>
        <w:jc w:val="center"/>
      </w:pPr>
      <w:r>
        <w:rPr>
          <w:noProof/>
        </w:rPr>
        <w:drawing>
          <wp:inline distT="0" distB="0" distL="0" distR="0">
            <wp:extent cx="4307920" cy="5829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4 at 16.03.23 (2).png"/>
                    <pic:cNvPicPr/>
                  </pic:nvPicPr>
                  <pic:blipFill>
                    <a:blip r:embed="rId5">
                      <a:extLst>
                        <a:ext uri="{28A0092B-C50C-407E-A947-70E740481C1C}">
                          <a14:useLocalDpi xmlns:a14="http://schemas.microsoft.com/office/drawing/2010/main" val="0"/>
                        </a:ext>
                      </a:extLst>
                    </a:blip>
                    <a:stretch>
                      <a:fillRect/>
                    </a:stretch>
                  </pic:blipFill>
                  <pic:spPr>
                    <a:xfrm>
                      <a:off x="0" y="0"/>
                      <a:ext cx="4331279" cy="5861574"/>
                    </a:xfrm>
                    <a:prstGeom prst="rect">
                      <a:avLst/>
                    </a:prstGeom>
                  </pic:spPr>
                </pic:pic>
              </a:graphicData>
            </a:graphic>
          </wp:inline>
        </w:drawing>
      </w:r>
    </w:p>
    <w:p w:rsidR="009E5F4A" w:rsidRDefault="009E5F4A" w:rsidP="0066142F">
      <w:pPr>
        <w:jc w:val="center"/>
      </w:pPr>
    </w:p>
    <w:p w:rsidR="00945C12" w:rsidRDefault="009E5F4A" w:rsidP="00945C12">
      <w:pPr>
        <w:jc w:val="center"/>
      </w:pPr>
      <w:r>
        <w:t>The above map is used for this assignment. It is broken up using the electorate constituencies of Ireland.</w:t>
      </w:r>
      <w:r w:rsidR="00B3003C">
        <w:t xml:space="preserve"> Some counties have been sub-divided (e.g. Dublin, Cork, Galway) into smaller regions. Also, please note that The Galway label accounts for the entire county of Galway (excluding Galway city) and not just the Achill Islands.</w:t>
      </w:r>
    </w:p>
    <w:p w:rsidR="00945C12" w:rsidRDefault="00945C12" w:rsidP="00DF45C3">
      <w:pPr>
        <w:pStyle w:val="Heading1"/>
        <w:jc w:val="center"/>
      </w:pPr>
      <w:r>
        <w:br w:type="page"/>
      </w:r>
      <w:r>
        <w:lastRenderedPageBreak/>
        <w:t>Post-Secondary Education vs No Post-Secondary Education</w:t>
      </w:r>
    </w:p>
    <w:p w:rsidR="00945C12" w:rsidRDefault="00945C12" w:rsidP="00945C12">
      <w:pPr>
        <w:pStyle w:val="Heading1"/>
        <w:jc w:val="center"/>
      </w:pPr>
      <w:r>
        <w:rPr>
          <w:noProof/>
        </w:rPr>
        <w:drawing>
          <wp:inline distT="0" distB="0" distL="0" distR="0">
            <wp:extent cx="2351116"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ucated.png"/>
                    <pic:cNvPicPr/>
                  </pic:nvPicPr>
                  <pic:blipFill>
                    <a:blip r:embed="rId6">
                      <a:extLst>
                        <a:ext uri="{28A0092B-C50C-407E-A947-70E740481C1C}">
                          <a14:useLocalDpi xmlns:a14="http://schemas.microsoft.com/office/drawing/2010/main" val="0"/>
                        </a:ext>
                      </a:extLst>
                    </a:blip>
                    <a:stretch>
                      <a:fillRect/>
                    </a:stretch>
                  </pic:blipFill>
                  <pic:spPr>
                    <a:xfrm>
                      <a:off x="0" y="0"/>
                      <a:ext cx="2351116" cy="3240000"/>
                    </a:xfrm>
                    <a:prstGeom prst="rect">
                      <a:avLst/>
                    </a:prstGeom>
                  </pic:spPr>
                </pic:pic>
              </a:graphicData>
            </a:graphic>
          </wp:inline>
        </w:drawing>
      </w:r>
      <w:r>
        <w:rPr>
          <w:noProof/>
        </w:rPr>
        <w:drawing>
          <wp:inline distT="0" distB="0" distL="0" distR="0">
            <wp:extent cx="2319763" cy="3240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educated.png"/>
                    <pic:cNvPicPr/>
                  </pic:nvPicPr>
                  <pic:blipFill>
                    <a:blip r:embed="rId7">
                      <a:extLst>
                        <a:ext uri="{28A0092B-C50C-407E-A947-70E740481C1C}">
                          <a14:useLocalDpi xmlns:a14="http://schemas.microsoft.com/office/drawing/2010/main" val="0"/>
                        </a:ext>
                      </a:extLst>
                    </a:blip>
                    <a:stretch>
                      <a:fillRect/>
                    </a:stretch>
                  </pic:blipFill>
                  <pic:spPr>
                    <a:xfrm>
                      <a:off x="0" y="0"/>
                      <a:ext cx="2319763" cy="3240000"/>
                    </a:xfrm>
                    <a:prstGeom prst="rect">
                      <a:avLst/>
                    </a:prstGeom>
                  </pic:spPr>
                </pic:pic>
              </a:graphicData>
            </a:graphic>
          </wp:inline>
        </w:drawing>
      </w:r>
    </w:p>
    <w:p w:rsidR="00945C12" w:rsidRDefault="00945C12" w:rsidP="00945C12"/>
    <w:p w:rsidR="00945C12" w:rsidRDefault="00945C12" w:rsidP="00945C12">
      <w:pPr>
        <w:pStyle w:val="ListParagraph"/>
        <w:numPr>
          <w:ilvl w:val="0"/>
          <w:numId w:val="2"/>
        </w:numPr>
        <w:jc w:val="center"/>
      </w:pPr>
      <w:r>
        <w:t>Post-Secondary Education is a Level 6 Higher Diploma or Greater</w:t>
      </w:r>
    </w:p>
    <w:p w:rsidR="00E1613D" w:rsidRPr="00945C12" w:rsidRDefault="00E1613D" w:rsidP="00E1613D">
      <w:pPr>
        <w:pStyle w:val="ListParagraph"/>
      </w:pPr>
    </w:p>
    <w:p w:rsidR="0066142F" w:rsidRDefault="00567B0E" w:rsidP="00945C12">
      <w:pPr>
        <w:pStyle w:val="Heading1"/>
        <w:jc w:val="center"/>
      </w:pPr>
      <w:r>
        <w:t>Socio Economic Cat A vs Socio</w:t>
      </w:r>
      <w:r w:rsidR="009E5F4A">
        <w:t xml:space="preserve"> Economic Cat B</w:t>
      </w:r>
    </w:p>
    <w:p w:rsidR="00945C12" w:rsidRPr="00945C12" w:rsidRDefault="00945C12" w:rsidP="00945C12"/>
    <w:p w:rsidR="0066142F" w:rsidRDefault="009E5F4A" w:rsidP="00945C12">
      <w:pPr>
        <w:keepNext/>
        <w:jc w:val="center"/>
      </w:pPr>
      <w:r>
        <w:rPr>
          <w:noProof/>
        </w:rPr>
        <w:drawing>
          <wp:inline distT="0" distB="0" distL="0" distR="0">
            <wp:extent cx="2349383" cy="324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io Cat A.png"/>
                    <pic:cNvPicPr/>
                  </pic:nvPicPr>
                  <pic:blipFill>
                    <a:blip r:embed="rId8">
                      <a:extLst>
                        <a:ext uri="{28A0092B-C50C-407E-A947-70E740481C1C}">
                          <a14:useLocalDpi xmlns:a14="http://schemas.microsoft.com/office/drawing/2010/main" val="0"/>
                        </a:ext>
                      </a:extLst>
                    </a:blip>
                    <a:stretch>
                      <a:fillRect/>
                    </a:stretch>
                  </pic:blipFill>
                  <pic:spPr>
                    <a:xfrm>
                      <a:off x="0" y="0"/>
                      <a:ext cx="2349383" cy="3240000"/>
                    </a:xfrm>
                    <a:prstGeom prst="rect">
                      <a:avLst/>
                    </a:prstGeom>
                  </pic:spPr>
                </pic:pic>
              </a:graphicData>
            </a:graphic>
          </wp:inline>
        </w:drawing>
      </w:r>
      <w:r>
        <w:rPr>
          <w:noProof/>
        </w:rPr>
        <w:drawing>
          <wp:inline distT="0" distB="0" distL="0" distR="0">
            <wp:extent cx="2348327" cy="324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io Cat B.png"/>
                    <pic:cNvPicPr/>
                  </pic:nvPicPr>
                  <pic:blipFill>
                    <a:blip r:embed="rId9">
                      <a:extLst>
                        <a:ext uri="{28A0092B-C50C-407E-A947-70E740481C1C}">
                          <a14:useLocalDpi xmlns:a14="http://schemas.microsoft.com/office/drawing/2010/main" val="0"/>
                        </a:ext>
                      </a:extLst>
                    </a:blip>
                    <a:stretch>
                      <a:fillRect/>
                    </a:stretch>
                  </pic:blipFill>
                  <pic:spPr>
                    <a:xfrm>
                      <a:off x="0" y="0"/>
                      <a:ext cx="2348327" cy="3240000"/>
                    </a:xfrm>
                    <a:prstGeom prst="rect">
                      <a:avLst/>
                    </a:prstGeom>
                  </pic:spPr>
                </pic:pic>
              </a:graphicData>
            </a:graphic>
          </wp:inline>
        </w:drawing>
      </w:r>
    </w:p>
    <w:p w:rsidR="00945C12" w:rsidRDefault="00945C12" w:rsidP="00945C12">
      <w:pPr>
        <w:keepNext/>
        <w:jc w:val="center"/>
      </w:pPr>
    </w:p>
    <w:p w:rsidR="009E5F4A" w:rsidRDefault="009E5F4A" w:rsidP="009E5F4A">
      <w:pPr>
        <w:pStyle w:val="ListParagraph"/>
        <w:numPr>
          <w:ilvl w:val="0"/>
          <w:numId w:val="1"/>
        </w:numPr>
        <w:jc w:val="center"/>
      </w:pPr>
      <w:r>
        <w:t>Cat A consists of Professional, Managerial, Technical and Skilled workers.</w:t>
      </w:r>
    </w:p>
    <w:p w:rsidR="009E5F4A" w:rsidRDefault="009E5F4A" w:rsidP="009E5F4A">
      <w:pPr>
        <w:pStyle w:val="ListParagraph"/>
        <w:numPr>
          <w:ilvl w:val="0"/>
          <w:numId w:val="1"/>
        </w:numPr>
        <w:jc w:val="center"/>
      </w:pPr>
      <w:r>
        <w:t>Cat B consists of Non-Manual, Semi-Skilled, Un-Skilled and Other Workers.</w:t>
      </w:r>
    </w:p>
    <w:p w:rsidR="00AD1CD7" w:rsidRDefault="00AD1CD7" w:rsidP="00E1613D"/>
    <w:p w:rsidR="00AD1CD7" w:rsidRDefault="00AD1CD7" w:rsidP="00AD1CD7">
      <w:pPr>
        <w:pStyle w:val="Heading1"/>
        <w:jc w:val="center"/>
      </w:pPr>
      <w:r>
        <w:lastRenderedPageBreak/>
        <w:t>2011 Employment Figures vs 2016 Employment Figures</w:t>
      </w:r>
    </w:p>
    <w:p w:rsidR="00E1613D" w:rsidRPr="00E1613D" w:rsidRDefault="00E1613D" w:rsidP="00E1613D"/>
    <w:p w:rsidR="00E1613D" w:rsidRDefault="00234C9F" w:rsidP="00E1613D">
      <w:pPr>
        <w:jc w:val="center"/>
      </w:pPr>
      <w:r>
        <w:rPr>
          <w:noProof/>
        </w:rPr>
        <w:drawing>
          <wp:inline distT="0" distB="0" distL="0" distR="0">
            <wp:extent cx="2343349" cy="3208876"/>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oyment 2011.png"/>
                    <pic:cNvPicPr/>
                  </pic:nvPicPr>
                  <pic:blipFill>
                    <a:blip r:embed="rId10">
                      <a:extLst>
                        <a:ext uri="{28A0092B-C50C-407E-A947-70E740481C1C}">
                          <a14:useLocalDpi xmlns:a14="http://schemas.microsoft.com/office/drawing/2010/main" val="0"/>
                        </a:ext>
                      </a:extLst>
                    </a:blip>
                    <a:stretch>
                      <a:fillRect/>
                    </a:stretch>
                  </pic:blipFill>
                  <pic:spPr>
                    <a:xfrm>
                      <a:off x="0" y="0"/>
                      <a:ext cx="2343349" cy="3208876"/>
                    </a:xfrm>
                    <a:prstGeom prst="rect">
                      <a:avLst/>
                    </a:prstGeom>
                  </pic:spPr>
                </pic:pic>
              </a:graphicData>
            </a:graphic>
          </wp:inline>
        </w:drawing>
      </w:r>
      <w:r w:rsidR="00173EEA">
        <w:rPr>
          <w:noProof/>
        </w:rPr>
        <w:drawing>
          <wp:inline distT="0" distB="0" distL="0" distR="0">
            <wp:extent cx="2336797" cy="324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_Employment.png"/>
                    <pic:cNvPicPr/>
                  </pic:nvPicPr>
                  <pic:blipFill>
                    <a:blip r:embed="rId11">
                      <a:extLst>
                        <a:ext uri="{28A0092B-C50C-407E-A947-70E740481C1C}">
                          <a14:useLocalDpi xmlns:a14="http://schemas.microsoft.com/office/drawing/2010/main" val="0"/>
                        </a:ext>
                      </a:extLst>
                    </a:blip>
                    <a:stretch>
                      <a:fillRect/>
                    </a:stretch>
                  </pic:blipFill>
                  <pic:spPr>
                    <a:xfrm>
                      <a:off x="0" y="0"/>
                      <a:ext cx="2336797" cy="3240000"/>
                    </a:xfrm>
                    <a:prstGeom prst="rect">
                      <a:avLst/>
                    </a:prstGeom>
                  </pic:spPr>
                </pic:pic>
              </a:graphicData>
            </a:graphic>
          </wp:inline>
        </w:drawing>
      </w:r>
    </w:p>
    <w:p w:rsidR="00E1613D" w:rsidRPr="007D3D81" w:rsidRDefault="00E1613D" w:rsidP="00E1613D">
      <w:pPr>
        <w:jc w:val="center"/>
      </w:pPr>
    </w:p>
    <w:p w:rsidR="009E5F4A" w:rsidRDefault="00D71F8B" w:rsidP="00D71F8B">
      <w:pPr>
        <w:pStyle w:val="ListParagraph"/>
        <w:numPr>
          <w:ilvl w:val="0"/>
          <w:numId w:val="3"/>
        </w:numPr>
        <w:jc w:val="center"/>
      </w:pPr>
      <w:r>
        <w:t>Employment Figures include those in full time employment, looking after a family member or other lines of work.</w:t>
      </w:r>
    </w:p>
    <w:p w:rsidR="00E1613D" w:rsidRDefault="00E1613D" w:rsidP="00E1613D">
      <w:pPr>
        <w:pStyle w:val="ListParagraph"/>
      </w:pPr>
    </w:p>
    <w:p w:rsidR="00AD1CD7" w:rsidRDefault="00AD1CD7" w:rsidP="00AD1CD7">
      <w:pPr>
        <w:pStyle w:val="Heading1"/>
        <w:jc w:val="center"/>
      </w:pPr>
      <w:r>
        <w:t>2011 Unemployment Figures vs 2016 Unemployment Figures</w:t>
      </w:r>
    </w:p>
    <w:p w:rsidR="00E1613D" w:rsidRPr="00E1613D" w:rsidRDefault="00E1613D" w:rsidP="00E1613D"/>
    <w:p w:rsidR="007D3D81" w:rsidRDefault="00E1613D" w:rsidP="00E1613D">
      <w:pPr>
        <w:jc w:val="center"/>
      </w:pPr>
      <w:r>
        <w:rPr>
          <w:noProof/>
        </w:rPr>
        <w:drawing>
          <wp:inline distT="0" distB="0" distL="0" distR="0">
            <wp:extent cx="2334930" cy="322915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employment 2011.png"/>
                    <pic:cNvPicPr/>
                  </pic:nvPicPr>
                  <pic:blipFill>
                    <a:blip r:embed="rId12">
                      <a:extLst>
                        <a:ext uri="{28A0092B-C50C-407E-A947-70E740481C1C}">
                          <a14:useLocalDpi xmlns:a14="http://schemas.microsoft.com/office/drawing/2010/main" val="0"/>
                        </a:ext>
                      </a:extLst>
                    </a:blip>
                    <a:stretch>
                      <a:fillRect/>
                    </a:stretch>
                  </pic:blipFill>
                  <pic:spPr>
                    <a:xfrm>
                      <a:off x="0" y="0"/>
                      <a:ext cx="2334930" cy="3229158"/>
                    </a:xfrm>
                    <a:prstGeom prst="rect">
                      <a:avLst/>
                    </a:prstGeom>
                  </pic:spPr>
                </pic:pic>
              </a:graphicData>
            </a:graphic>
          </wp:inline>
        </w:drawing>
      </w:r>
      <w:r w:rsidR="00166B8C">
        <w:rPr>
          <w:noProof/>
        </w:rPr>
        <w:drawing>
          <wp:inline distT="0" distB="0" distL="0" distR="0">
            <wp:extent cx="2361226" cy="3240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_Unemployment.png"/>
                    <pic:cNvPicPr/>
                  </pic:nvPicPr>
                  <pic:blipFill>
                    <a:blip r:embed="rId13">
                      <a:extLst>
                        <a:ext uri="{28A0092B-C50C-407E-A947-70E740481C1C}">
                          <a14:useLocalDpi xmlns:a14="http://schemas.microsoft.com/office/drawing/2010/main" val="0"/>
                        </a:ext>
                      </a:extLst>
                    </a:blip>
                    <a:stretch>
                      <a:fillRect/>
                    </a:stretch>
                  </pic:blipFill>
                  <pic:spPr>
                    <a:xfrm>
                      <a:off x="0" y="0"/>
                      <a:ext cx="2361226" cy="3240000"/>
                    </a:xfrm>
                    <a:prstGeom prst="rect">
                      <a:avLst/>
                    </a:prstGeom>
                  </pic:spPr>
                </pic:pic>
              </a:graphicData>
            </a:graphic>
          </wp:inline>
        </w:drawing>
      </w:r>
    </w:p>
    <w:p w:rsidR="00E1613D" w:rsidRPr="007D3D81" w:rsidRDefault="00E1613D" w:rsidP="00E1613D">
      <w:pPr>
        <w:jc w:val="center"/>
      </w:pPr>
    </w:p>
    <w:p w:rsidR="005311CC" w:rsidRDefault="00D71F8B" w:rsidP="005311CC">
      <w:pPr>
        <w:pStyle w:val="ListParagraph"/>
        <w:numPr>
          <w:ilvl w:val="0"/>
          <w:numId w:val="3"/>
        </w:numPr>
        <w:jc w:val="center"/>
      </w:pPr>
      <w:r>
        <w:t>Unemployment figures include those who are currently looking for work and those who have l</w:t>
      </w:r>
      <w:r w:rsidR="00E1613D">
        <w:t>ost or have given up their jobs.</w:t>
      </w:r>
    </w:p>
    <w:p w:rsidR="005311CC" w:rsidRDefault="005311CC" w:rsidP="005311CC">
      <w:pPr>
        <w:pStyle w:val="Heading1"/>
        <w:jc w:val="center"/>
      </w:pPr>
      <w:r>
        <w:lastRenderedPageBreak/>
        <w:t>Findings</w:t>
      </w:r>
    </w:p>
    <w:p w:rsidR="00202778" w:rsidRDefault="00202778" w:rsidP="00202778"/>
    <w:p w:rsidR="00202778" w:rsidRPr="00202778" w:rsidRDefault="00202778" w:rsidP="00202778">
      <w:pPr>
        <w:jc w:val="center"/>
      </w:pPr>
      <w:r>
        <w:t>Below is a list of findings based on the above data.</w:t>
      </w:r>
    </w:p>
    <w:p w:rsidR="00202778" w:rsidRDefault="00202778" w:rsidP="00202778"/>
    <w:p w:rsidR="00202778" w:rsidRDefault="00202778" w:rsidP="00202778">
      <w:pPr>
        <w:pStyle w:val="Heading2"/>
        <w:jc w:val="center"/>
      </w:pPr>
      <w:r>
        <w:t>Education</w:t>
      </w:r>
    </w:p>
    <w:p w:rsidR="00202778" w:rsidRDefault="00202778" w:rsidP="00202778"/>
    <w:p w:rsidR="00202778" w:rsidRDefault="00567B0E" w:rsidP="00202778">
      <w:pPr>
        <w:pStyle w:val="ListParagraph"/>
        <w:numPr>
          <w:ilvl w:val="0"/>
          <w:numId w:val="3"/>
        </w:numPr>
        <w:jc w:val="center"/>
      </w:pPr>
      <w:r>
        <w:t>In 2011,</w:t>
      </w:r>
      <w:r w:rsidR="00E25109">
        <w:t xml:space="preserve"> on average </w:t>
      </w:r>
      <w:r w:rsidR="00421243">
        <w:t>close to 75% of</w:t>
      </w:r>
      <w:r w:rsidR="00E25109">
        <w:t xml:space="preserve"> </w:t>
      </w:r>
      <w:r w:rsidR="00CC1D9C">
        <w:t xml:space="preserve">the population </w:t>
      </w:r>
      <w:r w:rsidR="00E25109">
        <w:t>had no form of Post-Secondary Education.</w:t>
      </w:r>
    </w:p>
    <w:p w:rsidR="00E25109" w:rsidRDefault="00567B0E" w:rsidP="00202778">
      <w:pPr>
        <w:pStyle w:val="ListParagraph"/>
        <w:numPr>
          <w:ilvl w:val="0"/>
          <w:numId w:val="3"/>
        </w:numPr>
        <w:jc w:val="center"/>
      </w:pPr>
      <w:r>
        <w:t>In 2011, m</w:t>
      </w:r>
      <w:r w:rsidR="00E25109">
        <w:t xml:space="preserve">ost of the people who had a form Post-Secondary Education were located in </w:t>
      </w:r>
      <w:r w:rsidR="00EA383A">
        <w:t>urban</w:t>
      </w:r>
      <w:r>
        <w:t xml:space="preserve"> areas such as Dublin, Cork, Galway.</w:t>
      </w:r>
    </w:p>
    <w:p w:rsidR="00567B0E" w:rsidRPr="00202778" w:rsidRDefault="00567B0E" w:rsidP="00202778">
      <w:pPr>
        <w:pStyle w:val="ListParagraph"/>
        <w:numPr>
          <w:ilvl w:val="0"/>
          <w:numId w:val="3"/>
        </w:numPr>
        <w:jc w:val="center"/>
      </w:pPr>
      <w:r>
        <w:t xml:space="preserve">In 2011, </w:t>
      </w:r>
      <w:r w:rsidR="00421243">
        <w:t>lower numbers</w:t>
      </w:r>
      <w:r>
        <w:t xml:space="preserve"> of Post-Secondary Education </w:t>
      </w:r>
      <w:r w:rsidR="00421243">
        <w:t>were recorded in rural areas as opposed to</w:t>
      </w:r>
      <w:r>
        <w:t xml:space="preserve"> </w:t>
      </w:r>
      <w:r w:rsidR="00421243">
        <w:t>urban</w:t>
      </w:r>
      <w:r>
        <w:t xml:space="preserve"> areas.</w:t>
      </w:r>
    </w:p>
    <w:p w:rsidR="005311CC" w:rsidRDefault="005311CC" w:rsidP="005311CC"/>
    <w:p w:rsidR="00567B0E" w:rsidRDefault="00567B0E" w:rsidP="00567B0E">
      <w:pPr>
        <w:pStyle w:val="Heading2"/>
        <w:jc w:val="center"/>
      </w:pPr>
      <w:r>
        <w:t>Socio Economic</w:t>
      </w:r>
    </w:p>
    <w:p w:rsidR="00567B0E" w:rsidRDefault="00567B0E" w:rsidP="00567B0E"/>
    <w:p w:rsidR="00567B0E" w:rsidRDefault="00567B0E" w:rsidP="00567B0E">
      <w:pPr>
        <w:pStyle w:val="ListParagraph"/>
        <w:numPr>
          <w:ilvl w:val="0"/>
          <w:numId w:val="4"/>
        </w:numPr>
        <w:jc w:val="center"/>
      </w:pPr>
      <w:r>
        <w:t>In 2011, built up areas such as Dublin and Cork possessed higher numbers of Cat A for socio economic groups.</w:t>
      </w:r>
      <w:r w:rsidR="0009535B">
        <w:t xml:space="preserve"> This may indicate that more office jobs or jobs which require degrees exist in these areas.</w:t>
      </w:r>
    </w:p>
    <w:p w:rsidR="00567B0E" w:rsidRDefault="00567B0E" w:rsidP="00567B0E">
      <w:pPr>
        <w:pStyle w:val="ListParagraph"/>
        <w:numPr>
          <w:ilvl w:val="0"/>
          <w:numId w:val="4"/>
        </w:numPr>
        <w:jc w:val="center"/>
      </w:pPr>
      <w:r>
        <w:t>In 2011, rural areas such as Kerry and Mayo possessed higher numbers of Cat B for socio economic groups.</w:t>
      </w:r>
      <w:r w:rsidR="0009535B">
        <w:t xml:space="preserve"> This may indicate that more manual jobs such as farming exist in these areas.</w:t>
      </w:r>
    </w:p>
    <w:p w:rsidR="00567B0E" w:rsidRDefault="00567B0E" w:rsidP="00567B0E">
      <w:pPr>
        <w:pStyle w:val="ListParagraph"/>
        <w:numPr>
          <w:ilvl w:val="0"/>
          <w:numId w:val="4"/>
        </w:numPr>
        <w:jc w:val="center"/>
      </w:pPr>
      <w:r>
        <w:t>In 2011, Quite an even split of Cat A and Cat B socio economic groups can be seen across the board.</w:t>
      </w:r>
    </w:p>
    <w:p w:rsidR="00567B0E" w:rsidRDefault="00567B0E" w:rsidP="00567B0E">
      <w:pPr>
        <w:jc w:val="center"/>
      </w:pPr>
    </w:p>
    <w:p w:rsidR="00567B0E" w:rsidRPr="00567B0E" w:rsidRDefault="00567B0E" w:rsidP="00567B0E">
      <w:pPr>
        <w:pStyle w:val="Heading2"/>
        <w:jc w:val="center"/>
      </w:pPr>
      <w:r>
        <w:t>Employment</w:t>
      </w:r>
    </w:p>
    <w:p w:rsidR="00567B0E" w:rsidRDefault="00567B0E" w:rsidP="005311CC"/>
    <w:p w:rsidR="00567B0E" w:rsidRDefault="00567B0E" w:rsidP="00567B0E">
      <w:pPr>
        <w:pStyle w:val="ListParagraph"/>
        <w:numPr>
          <w:ilvl w:val="0"/>
          <w:numId w:val="5"/>
        </w:numPr>
        <w:jc w:val="center"/>
      </w:pPr>
      <w:r>
        <w:t xml:space="preserve">Between 2011 and 2016, </w:t>
      </w:r>
      <w:r w:rsidR="00570ADC">
        <w:t>urban</w:t>
      </w:r>
      <w:r>
        <w:t xml:space="preserve"> areas such as Dublin and Cork saw </w:t>
      </w:r>
      <w:r w:rsidR="00570ADC">
        <w:t>higher</w:t>
      </w:r>
      <w:r>
        <w:t xml:space="preserve"> levels of employment as opposed to rural areas.</w:t>
      </w:r>
    </w:p>
    <w:p w:rsidR="00594C03" w:rsidRDefault="00594C03" w:rsidP="00567B0E">
      <w:pPr>
        <w:pStyle w:val="ListParagraph"/>
        <w:numPr>
          <w:ilvl w:val="0"/>
          <w:numId w:val="5"/>
        </w:numPr>
        <w:jc w:val="center"/>
      </w:pPr>
      <w:r>
        <w:t>Between 2011 and 2016, unemployment levels feel right across the country with no county showing an increase in unemployment levels.</w:t>
      </w:r>
      <w:r w:rsidR="00B6103D">
        <w:t xml:space="preserve"> Higher levels of un</w:t>
      </w:r>
      <w:r w:rsidR="00B42311">
        <w:t>employment</w:t>
      </w:r>
      <w:r w:rsidR="00B6103D">
        <w:t xml:space="preserve"> still existed in many rural</w:t>
      </w:r>
      <w:r w:rsidR="00B42311">
        <w:t xml:space="preserve"> areas however</w:t>
      </w:r>
      <w:r w:rsidR="00B6103D">
        <w:t>.</w:t>
      </w:r>
      <w:bookmarkStart w:id="0" w:name="_GoBack"/>
      <w:bookmarkEnd w:id="0"/>
    </w:p>
    <w:p w:rsidR="00594C03" w:rsidRDefault="00594C03" w:rsidP="00567B0E">
      <w:pPr>
        <w:pStyle w:val="ListParagraph"/>
        <w:numPr>
          <w:ilvl w:val="0"/>
          <w:numId w:val="5"/>
        </w:numPr>
        <w:jc w:val="center"/>
      </w:pPr>
      <w:r>
        <w:t>Between 2011 and 2016, higher levels of employment were seen where people with a form of Post-Secondary Education resided.</w:t>
      </w:r>
    </w:p>
    <w:p w:rsidR="00594C03" w:rsidRDefault="00594C03" w:rsidP="00594C03">
      <w:pPr>
        <w:jc w:val="center"/>
      </w:pPr>
    </w:p>
    <w:p w:rsidR="004F1850" w:rsidRDefault="004F1850" w:rsidP="00594C03">
      <w:pPr>
        <w:jc w:val="center"/>
      </w:pPr>
    </w:p>
    <w:p w:rsidR="00594C03" w:rsidRPr="005311CC" w:rsidRDefault="00594C03" w:rsidP="00594C03">
      <w:pPr>
        <w:jc w:val="center"/>
      </w:pPr>
      <w:r>
        <w:t>Based on the findings, it can be said that there is a high correlation between educational achievement and employment prospects. On top of this, it can also be said that holders of a primary degree or higher qualification are concentrated in certain areas such as Dublin or Cork.</w:t>
      </w:r>
      <w:r w:rsidR="0089148F">
        <w:t xml:space="preserve"> Finally, it can also be said that there was a decent increase in levels of employment and decrease in levels of unemployment across the </w:t>
      </w:r>
      <w:r w:rsidR="007F0136">
        <w:t>country</w:t>
      </w:r>
      <w:r w:rsidR="0089148F">
        <w:t>.</w:t>
      </w:r>
    </w:p>
    <w:p w:rsidR="009E5F4A" w:rsidRPr="009E5F4A" w:rsidRDefault="00BD748B" w:rsidP="009E5F4A">
      <w:pPr>
        <w:jc w:val="center"/>
      </w:pPr>
      <w:r>
        <w:t xml:space="preserve"> </w:t>
      </w:r>
    </w:p>
    <w:sectPr w:rsidR="009E5F4A" w:rsidRPr="009E5F4A" w:rsidSect="00C921F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5941"/>
    <w:multiLevelType w:val="hybridMultilevel"/>
    <w:tmpl w:val="BBB4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FD6565"/>
    <w:multiLevelType w:val="hybridMultilevel"/>
    <w:tmpl w:val="2C2C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BC1F53"/>
    <w:multiLevelType w:val="hybridMultilevel"/>
    <w:tmpl w:val="AD2A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7256AF"/>
    <w:multiLevelType w:val="hybridMultilevel"/>
    <w:tmpl w:val="6BD2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9632CB"/>
    <w:multiLevelType w:val="hybridMultilevel"/>
    <w:tmpl w:val="B4B8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2F"/>
    <w:rsid w:val="0009535B"/>
    <w:rsid w:val="00166B8C"/>
    <w:rsid w:val="00173EEA"/>
    <w:rsid w:val="00202778"/>
    <w:rsid w:val="00234C9F"/>
    <w:rsid w:val="002E33DE"/>
    <w:rsid w:val="00385208"/>
    <w:rsid w:val="00421243"/>
    <w:rsid w:val="0043204D"/>
    <w:rsid w:val="004F1850"/>
    <w:rsid w:val="005311CC"/>
    <w:rsid w:val="005514B9"/>
    <w:rsid w:val="00567B0E"/>
    <w:rsid w:val="00570ADC"/>
    <w:rsid w:val="00594C03"/>
    <w:rsid w:val="005A1400"/>
    <w:rsid w:val="0064524F"/>
    <w:rsid w:val="00653F0D"/>
    <w:rsid w:val="00656436"/>
    <w:rsid w:val="0066142F"/>
    <w:rsid w:val="006A07DF"/>
    <w:rsid w:val="007D09B4"/>
    <w:rsid w:val="007D3D81"/>
    <w:rsid w:val="007F0136"/>
    <w:rsid w:val="00870FD3"/>
    <w:rsid w:val="0089148F"/>
    <w:rsid w:val="008B3A8F"/>
    <w:rsid w:val="00945C12"/>
    <w:rsid w:val="009E5F4A"/>
    <w:rsid w:val="009F7E9A"/>
    <w:rsid w:val="00AD1CD7"/>
    <w:rsid w:val="00B3003C"/>
    <w:rsid w:val="00B42311"/>
    <w:rsid w:val="00B60CDE"/>
    <w:rsid w:val="00B6103D"/>
    <w:rsid w:val="00BD748B"/>
    <w:rsid w:val="00C921F6"/>
    <w:rsid w:val="00CC1D9C"/>
    <w:rsid w:val="00CD747C"/>
    <w:rsid w:val="00D71F8B"/>
    <w:rsid w:val="00DE0E05"/>
    <w:rsid w:val="00DF1DB9"/>
    <w:rsid w:val="00DF45C3"/>
    <w:rsid w:val="00E1613D"/>
    <w:rsid w:val="00E25109"/>
    <w:rsid w:val="00E4203C"/>
    <w:rsid w:val="00EA383A"/>
    <w:rsid w:val="00EB2391"/>
    <w:rsid w:val="00F2188D"/>
    <w:rsid w:val="00F71B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3D344"/>
  <w14:defaultImageDpi w14:val="32767"/>
  <w15:chartTrackingRefBased/>
  <w15:docId w15:val="{03B7D29C-5152-8446-A717-34BFF366B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F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7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E5F4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9E5F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E5F4A"/>
    <w:pPr>
      <w:ind w:left="720"/>
      <w:contextualSpacing/>
    </w:pPr>
  </w:style>
  <w:style w:type="character" w:customStyle="1" w:styleId="Heading2Char">
    <w:name w:val="Heading 2 Char"/>
    <w:basedOn w:val="DefaultParagraphFont"/>
    <w:link w:val="Heading2"/>
    <w:uiPriority w:val="9"/>
    <w:rsid w:val="0020277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Tilley</dc:creator>
  <cp:keywords/>
  <dc:description/>
  <cp:lastModifiedBy>Daniel Tilley</cp:lastModifiedBy>
  <cp:revision>56</cp:revision>
  <dcterms:created xsi:type="dcterms:W3CDTF">2018-04-24T20:15:00Z</dcterms:created>
  <dcterms:modified xsi:type="dcterms:W3CDTF">2018-04-26T19:23:00Z</dcterms:modified>
</cp:coreProperties>
</file>