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595AA" w14:textId="77777777" w:rsidR="007A6E18" w:rsidRPr="007A6E18" w:rsidRDefault="007A6E18" w:rsidP="007A6E18">
      <w:pPr>
        <w:rPr>
          <w:b/>
          <w:bCs/>
        </w:rPr>
      </w:pPr>
      <w:r w:rsidRPr="007A6E18">
        <w:rPr>
          <w:b/>
          <w:bCs/>
        </w:rPr>
        <w:t>GME Research Brief - Last Twelve Months Analysis</w:t>
      </w:r>
    </w:p>
    <w:p w14:paraId="4F4B956A" w14:textId="77777777" w:rsidR="007A6E18" w:rsidRPr="007A6E18" w:rsidRDefault="007A6E18" w:rsidP="007A6E18">
      <w:r w:rsidRPr="007A6E18">
        <w:rPr>
          <w:b/>
          <w:bCs/>
        </w:rPr>
        <w:t>Date: August 1, 2025</w:t>
      </w:r>
      <w:r w:rsidRPr="007A6E18">
        <w:br/>
      </w:r>
      <w:r w:rsidRPr="007A6E18">
        <w:rPr>
          <w:b/>
          <w:bCs/>
        </w:rPr>
        <w:t>Prepared For: Investment Research Team</w:t>
      </w:r>
    </w:p>
    <w:p w14:paraId="21AFEAB0" w14:textId="77777777" w:rsidR="007A6E18" w:rsidRPr="007A6E18" w:rsidRDefault="007A6E18" w:rsidP="007A6E18">
      <w:pPr>
        <w:rPr>
          <w:b/>
          <w:bCs/>
        </w:rPr>
      </w:pPr>
      <w:r w:rsidRPr="007A6E18">
        <w:rPr>
          <w:b/>
          <w:bCs/>
        </w:rPr>
        <w:t>Executive Summary</w:t>
      </w:r>
    </w:p>
    <w:p w14:paraId="74CB19FB" w14:textId="77777777" w:rsidR="007A6E18" w:rsidRPr="007A6E18" w:rsidRDefault="007A6E18" w:rsidP="007A6E18">
      <w:r w:rsidRPr="007A6E18">
        <w:t>This research brief provides a comprehensive analysis of GameStop Corp. (GME) over the Last Twelve Months (LTM) period, integrating financial performance, SEC filing activity, and strategic assessment. The company shows significant financial improvement with substantial cash accumulation and reduced debt, while navigating ongoing strategic transitions.</w:t>
      </w:r>
    </w:p>
    <w:p w14:paraId="2EB0AD4B" w14:textId="77777777" w:rsidR="007A6E18" w:rsidRPr="007A6E18" w:rsidRDefault="007A6E18" w:rsidP="007A6E18">
      <w:r w:rsidRPr="007A6E18">
        <w:pict w14:anchorId="3390C86F">
          <v:rect id="_x0000_i1043" style="width:0;height:1.5pt" o:hralign="center" o:hrstd="t" o:hr="t" fillcolor="#a0a0a0" stroked="f"/>
        </w:pict>
      </w:r>
    </w:p>
    <w:p w14:paraId="4AF4DA81" w14:textId="77777777" w:rsidR="007A6E18" w:rsidRPr="007A6E18" w:rsidRDefault="007A6E18" w:rsidP="007A6E18">
      <w:pPr>
        <w:rPr>
          <w:b/>
          <w:bCs/>
        </w:rPr>
      </w:pPr>
      <w:r w:rsidRPr="007A6E18">
        <w:rPr>
          <w:b/>
          <w:bCs/>
        </w:rPr>
        <w:t>1. Company Identification &amp; Regulatory Profile</w:t>
      </w:r>
    </w:p>
    <w:p w14:paraId="2E6F72E9" w14:textId="77777777" w:rsidR="007A6E18" w:rsidRPr="007A6E18" w:rsidRDefault="007A6E18" w:rsidP="007A6E18">
      <w:pPr>
        <w:rPr>
          <w:b/>
          <w:bCs/>
        </w:rPr>
      </w:pPr>
      <w:r w:rsidRPr="007A6E18">
        <w:rPr>
          <w:b/>
          <w:bCs/>
        </w:rPr>
        <w:t>Corporate Details</w:t>
      </w:r>
    </w:p>
    <w:p w14:paraId="04982BA4" w14:textId="77777777" w:rsidR="007A6E18" w:rsidRPr="007A6E18" w:rsidRDefault="007A6E18" w:rsidP="007A6E18">
      <w:pPr>
        <w:numPr>
          <w:ilvl w:val="0"/>
          <w:numId w:val="1"/>
        </w:numPr>
      </w:pPr>
      <w:r w:rsidRPr="007A6E18">
        <w:rPr>
          <w:b/>
          <w:bCs/>
        </w:rPr>
        <w:t>Legal Name</w:t>
      </w:r>
      <w:r w:rsidRPr="007A6E18">
        <w:t>: GameStop Corp.</w:t>
      </w:r>
    </w:p>
    <w:p w14:paraId="5CCEE1A2" w14:textId="77777777" w:rsidR="007A6E18" w:rsidRPr="007A6E18" w:rsidRDefault="007A6E18" w:rsidP="007A6E18">
      <w:pPr>
        <w:numPr>
          <w:ilvl w:val="0"/>
          <w:numId w:val="1"/>
        </w:numPr>
      </w:pPr>
      <w:r w:rsidRPr="007A6E18">
        <w:rPr>
          <w:b/>
          <w:bCs/>
        </w:rPr>
        <w:t>CIK</w:t>
      </w:r>
      <w:r w:rsidRPr="007A6E18">
        <w:t>: 01326380 (10-digit normalized)</w:t>
      </w:r>
    </w:p>
    <w:p w14:paraId="07B2E064" w14:textId="77777777" w:rsidR="007A6E18" w:rsidRPr="007A6E18" w:rsidRDefault="007A6E18" w:rsidP="007A6E18">
      <w:pPr>
        <w:numPr>
          <w:ilvl w:val="0"/>
          <w:numId w:val="1"/>
        </w:numPr>
      </w:pPr>
      <w:r w:rsidRPr="007A6E18">
        <w:rPr>
          <w:b/>
          <w:bCs/>
        </w:rPr>
        <w:t>SIC Code</w:t>
      </w:r>
      <w:r w:rsidRPr="007A6E18">
        <w:t>: 5734 - Computer and Computer Software Stores</w:t>
      </w:r>
    </w:p>
    <w:p w14:paraId="74571C50" w14:textId="77777777" w:rsidR="007A6E18" w:rsidRPr="007A6E18" w:rsidRDefault="007A6E18" w:rsidP="007A6E18">
      <w:pPr>
        <w:numPr>
          <w:ilvl w:val="0"/>
          <w:numId w:val="1"/>
        </w:numPr>
      </w:pPr>
      <w:r w:rsidRPr="007A6E18">
        <w:rPr>
          <w:b/>
          <w:bCs/>
        </w:rPr>
        <w:t>CEO</w:t>
      </w:r>
      <w:r w:rsidRPr="007A6E18">
        <w:t>: Ryan Cohen (Interim Chief Executive Officer)</w:t>
      </w:r>
    </w:p>
    <w:p w14:paraId="4CE62DE9" w14:textId="77777777" w:rsidR="007A6E18" w:rsidRPr="007A6E18" w:rsidRDefault="007A6E18" w:rsidP="007A6E18">
      <w:pPr>
        <w:numPr>
          <w:ilvl w:val="0"/>
          <w:numId w:val="1"/>
        </w:numPr>
      </w:pPr>
      <w:r w:rsidRPr="007A6E18">
        <w:rPr>
          <w:b/>
          <w:bCs/>
        </w:rPr>
        <w:t>Reporting Currency</w:t>
      </w:r>
      <w:r w:rsidRPr="007A6E18">
        <w:t>: USD</w:t>
      </w:r>
    </w:p>
    <w:p w14:paraId="357C1F6F" w14:textId="77777777" w:rsidR="007A6E18" w:rsidRPr="007A6E18" w:rsidRDefault="007A6E18" w:rsidP="007A6E18">
      <w:pPr>
        <w:rPr>
          <w:b/>
          <w:bCs/>
        </w:rPr>
      </w:pPr>
      <w:r w:rsidRPr="007A6E18">
        <w:rPr>
          <w:b/>
          <w:bCs/>
        </w:rPr>
        <w:t>SEC Filing Activity (Last 12 Months)</w:t>
      </w:r>
    </w:p>
    <w:p w14:paraId="75CEAC5A" w14:textId="77777777" w:rsidR="007A6E18" w:rsidRPr="007A6E18" w:rsidRDefault="007A6E18" w:rsidP="007A6E18">
      <w:r w:rsidRPr="007A6E18">
        <w:rPr>
          <w:i/>
          <w:iCs/>
        </w:rPr>
        <w:t>Data as of retrieval date: August 22, 2025</w:t>
      </w:r>
    </w:p>
    <w:p w14:paraId="14B70065" w14:textId="77777777" w:rsidR="007A6E18" w:rsidRPr="007A6E18" w:rsidRDefault="007A6E18" w:rsidP="007A6E18">
      <w:r w:rsidRPr="007A6E18">
        <w:pict w14:anchorId="54660E5C">
          <v:rect id="_x0000_i1044" style="width:0;height:1.5pt" o:hralign="center" o:hrstd="t" o:hr="t" fillcolor="#a0a0a0" stroked="f"/>
        </w:pict>
      </w:r>
    </w:p>
    <w:p w14:paraId="4B96D45E" w14:textId="77777777" w:rsidR="007A6E18" w:rsidRPr="007A6E18" w:rsidRDefault="007A6E18" w:rsidP="007A6E18">
      <w:pPr>
        <w:rPr>
          <w:b/>
          <w:bCs/>
        </w:rPr>
      </w:pPr>
      <w:r w:rsidRPr="007A6E18">
        <w:rPr>
          <w:b/>
          <w:bCs/>
        </w:rPr>
        <w:t>2. SEC Filing Timeline &amp; Analysis</w:t>
      </w:r>
    </w:p>
    <w:p w14:paraId="745E0465" w14:textId="77777777" w:rsidR="007A6E18" w:rsidRPr="007A6E18" w:rsidRDefault="007A6E18" w:rsidP="007A6E18">
      <w:pPr>
        <w:rPr>
          <w:b/>
          <w:bCs/>
        </w:rPr>
      </w:pPr>
      <w:r w:rsidRPr="007A6E18">
        <w:rPr>
          <w:b/>
          <w:bCs/>
        </w:rPr>
        <w:t>Recent Filing Activity (Chronological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1364"/>
        <w:gridCol w:w="1181"/>
        <w:gridCol w:w="1708"/>
        <w:gridCol w:w="2744"/>
      </w:tblGrid>
      <w:tr w:rsidR="007A6E18" w:rsidRPr="007A6E18" w14:paraId="0F0FA527" w14:textId="77777777">
        <w:trPr>
          <w:tblHeader/>
          <w:tblCellSpacing w:w="15" w:type="dxa"/>
        </w:trPr>
        <w:tc>
          <w:tcPr>
            <w:tcW w:w="0" w:type="auto"/>
            <w:vAlign w:val="center"/>
            <w:hideMark/>
          </w:tcPr>
          <w:p w14:paraId="55DB8642" w14:textId="77777777" w:rsidR="007A6E18" w:rsidRPr="007A6E18" w:rsidRDefault="007A6E18" w:rsidP="007A6E18">
            <w:pPr>
              <w:rPr>
                <w:b/>
                <w:bCs/>
              </w:rPr>
            </w:pPr>
            <w:r w:rsidRPr="007A6E18">
              <w:rPr>
                <w:b/>
                <w:bCs/>
              </w:rPr>
              <w:t>Filing Date</w:t>
            </w:r>
          </w:p>
        </w:tc>
        <w:tc>
          <w:tcPr>
            <w:tcW w:w="0" w:type="auto"/>
            <w:vAlign w:val="center"/>
            <w:hideMark/>
          </w:tcPr>
          <w:p w14:paraId="61BA7DA6" w14:textId="77777777" w:rsidR="007A6E18" w:rsidRPr="007A6E18" w:rsidRDefault="007A6E18" w:rsidP="007A6E18">
            <w:pPr>
              <w:rPr>
                <w:b/>
                <w:bCs/>
              </w:rPr>
            </w:pPr>
            <w:r w:rsidRPr="007A6E18">
              <w:rPr>
                <w:b/>
                <w:bCs/>
              </w:rPr>
              <w:t>Report Date</w:t>
            </w:r>
          </w:p>
        </w:tc>
        <w:tc>
          <w:tcPr>
            <w:tcW w:w="0" w:type="auto"/>
            <w:vAlign w:val="center"/>
            <w:hideMark/>
          </w:tcPr>
          <w:p w14:paraId="4A7323D1" w14:textId="77777777" w:rsidR="007A6E18" w:rsidRPr="007A6E18" w:rsidRDefault="007A6E18" w:rsidP="007A6E18">
            <w:pPr>
              <w:rPr>
                <w:b/>
                <w:bCs/>
              </w:rPr>
            </w:pPr>
            <w:r w:rsidRPr="007A6E18">
              <w:rPr>
                <w:b/>
                <w:bCs/>
              </w:rPr>
              <w:t>Form Type</w:t>
            </w:r>
          </w:p>
        </w:tc>
        <w:tc>
          <w:tcPr>
            <w:tcW w:w="0" w:type="auto"/>
            <w:vAlign w:val="center"/>
            <w:hideMark/>
          </w:tcPr>
          <w:p w14:paraId="3E31F2F3" w14:textId="77777777" w:rsidR="007A6E18" w:rsidRPr="007A6E18" w:rsidRDefault="007A6E18" w:rsidP="007A6E18">
            <w:pPr>
              <w:rPr>
                <w:b/>
                <w:bCs/>
              </w:rPr>
            </w:pPr>
            <w:r w:rsidRPr="007A6E18">
              <w:rPr>
                <w:b/>
                <w:bCs/>
              </w:rPr>
              <w:t>Key Items</w:t>
            </w:r>
          </w:p>
        </w:tc>
        <w:tc>
          <w:tcPr>
            <w:tcW w:w="0" w:type="auto"/>
            <w:vAlign w:val="center"/>
            <w:hideMark/>
          </w:tcPr>
          <w:p w14:paraId="1D422EF1" w14:textId="77777777" w:rsidR="007A6E18" w:rsidRPr="007A6E18" w:rsidRDefault="007A6E18" w:rsidP="007A6E18">
            <w:pPr>
              <w:rPr>
                <w:b/>
                <w:bCs/>
              </w:rPr>
            </w:pPr>
            <w:r w:rsidRPr="007A6E18">
              <w:rPr>
                <w:b/>
                <w:bCs/>
              </w:rPr>
              <w:t>Significance</w:t>
            </w:r>
          </w:p>
        </w:tc>
      </w:tr>
      <w:tr w:rsidR="007A6E18" w:rsidRPr="007A6E18" w14:paraId="4345A605" w14:textId="77777777">
        <w:trPr>
          <w:tblCellSpacing w:w="15" w:type="dxa"/>
        </w:trPr>
        <w:tc>
          <w:tcPr>
            <w:tcW w:w="0" w:type="auto"/>
            <w:vAlign w:val="center"/>
            <w:hideMark/>
          </w:tcPr>
          <w:p w14:paraId="663F7539" w14:textId="77777777" w:rsidR="007A6E18" w:rsidRPr="007A6E18" w:rsidRDefault="007A6E18" w:rsidP="007A6E18">
            <w:r w:rsidRPr="007A6E18">
              <w:rPr>
                <w:b/>
                <w:bCs/>
              </w:rPr>
              <w:t>2025-07-31</w:t>
            </w:r>
          </w:p>
        </w:tc>
        <w:tc>
          <w:tcPr>
            <w:tcW w:w="0" w:type="auto"/>
            <w:vAlign w:val="center"/>
            <w:hideMark/>
          </w:tcPr>
          <w:p w14:paraId="2B81046B" w14:textId="77777777" w:rsidR="007A6E18" w:rsidRPr="007A6E18" w:rsidRDefault="007A6E18" w:rsidP="007A6E18">
            <w:r w:rsidRPr="007A6E18">
              <w:t>2025-07-31</w:t>
            </w:r>
          </w:p>
        </w:tc>
        <w:tc>
          <w:tcPr>
            <w:tcW w:w="0" w:type="auto"/>
            <w:vAlign w:val="center"/>
            <w:hideMark/>
          </w:tcPr>
          <w:p w14:paraId="0F934841" w14:textId="77777777" w:rsidR="007A6E18" w:rsidRPr="007A6E18" w:rsidRDefault="007A6E18" w:rsidP="007A6E18">
            <w:r w:rsidRPr="007A6E18">
              <w:t>8-K</w:t>
            </w:r>
          </w:p>
        </w:tc>
        <w:tc>
          <w:tcPr>
            <w:tcW w:w="0" w:type="auto"/>
            <w:vAlign w:val="center"/>
            <w:hideMark/>
          </w:tcPr>
          <w:p w14:paraId="20478EC0" w14:textId="77777777" w:rsidR="007A6E18" w:rsidRPr="007A6E18" w:rsidRDefault="007A6E18" w:rsidP="007A6E18">
            <w:r w:rsidRPr="007A6E18">
              <w:t>Item 2.02</w:t>
            </w:r>
          </w:p>
        </w:tc>
        <w:tc>
          <w:tcPr>
            <w:tcW w:w="0" w:type="auto"/>
            <w:vAlign w:val="center"/>
            <w:hideMark/>
          </w:tcPr>
          <w:p w14:paraId="743C2ADF" w14:textId="77777777" w:rsidR="007A6E18" w:rsidRPr="007A6E18" w:rsidRDefault="007A6E18" w:rsidP="007A6E18">
            <w:r w:rsidRPr="007A6E18">
              <w:t>Earnings results/guidance</w:t>
            </w:r>
          </w:p>
        </w:tc>
      </w:tr>
      <w:tr w:rsidR="007A6E18" w:rsidRPr="007A6E18" w14:paraId="4C8ED6B2" w14:textId="77777777">
        <w:trPr>
          <w:tblCellSpacing w:w="15" w:type="dxa"/>
        </w:trPr>
        <w:tc>
          <w:tcPr>
            <w:tcW w:w="0" w:type="auto"/>
            <w:vAlign w:val="center"/>
            <w:hideMark/>
          </w:tcPr>
          <w:p w14:paraId="61FEF524" w14:textId="77777777" w:rsidR="007A6E18" w:rsidRPr="007A6E18" w:rsidRDefault="007A6E18" w:rsidP="007A6E18">
            <w:r w:rsidRPr="007A6E18">
              <w:rPr>
                <w:b/>
                <w:bCs/>
              </w:rPr>
              <w:t>2025-05-08</w:t>
            </w:r>
          </w:p>
        </w:tc>
        <w:tc>
          <w:tcPr>
            <w:tcW w:w="0" w:type="auto"/>
            <w:vAlign w:val="center"/>
            <w:hideMark/>
          </w:tcPr>
          <w:p w14:paraId="0D0F526E" w14:textId="77777777" w:rsidR="007A6E18" w:rsidRPr="007A6E18" w:rsidRDefault="007A6E18" w:rsidP="007A6E18">
            <w:r w:rsidRPr="007A6E18">
              <w:t>2025-04-26</w:t>
            </w:r>
          </w:p>
        </w:tc>
        <w:tc>
          <w:tcPr>
            <w:tcW w:w="0" w:type="auto"/>
            <w:vAlign w:val="center"/>
            <w:hideMark/>
          </w:tcPr>
          <w:p w14:paraId="1FD9EC1A" w14:textId="77777777" w:rsidR="007A6E18" w:rsidRPr="007A6E18" w:rsidRDefault="007A6E18" w:rsidP="007A6E18">
            <w:r w:rsidRPr="007A6E18">
              <w:t>10-Q</w:t>
            </w:r>
          </w:p>
        </w:tc>
        <w:tc>
          <w:tcPr>
            <w:tcW w:w="0" w:type="auto"/>
            <w:vAlign w:val="center"/>
            <w:hideMark/>
          </w:tcPr>
          <w:p w14:paraId="06436662" w14:textId="77777777" w:rsidR="007A6E18" w:rsidRPr="007A6E18" w:rsidRDefault="007A6E18" w:rsidP="007A6E18">
            <w:r w:rsidRPr="007A6E18">
              <w:t>Quarterly report</w:t>
            </w:r>
          </w:p>
        </w:tc>
        <w:tc>
          <w:tcPr>
            <w:tcW w:w="0" w:type="auto"/>
            <w:vAlign w:val="center"/>
            <w:hideMark/>
          </w:tcPr>
          <w:p w14:paraId="62BB7546" w14:textId="77777777" w:rsidR="007A6E18" w:rsidRPr="007A6E18" w:rsidRDefault="007A6E18" w:rsidP="007A6E18">
            <w:r w:rsidRPr="007A6E18">
              <w:t>Q1 2025 financials</w:t>
            </w:r>
          </w:p>
        </w:tc>
      </w:tr>
      <w:tr w:rsidR="007A6E18" w:rsidRPr="007A6E18" w14:paraId="74A373BD" w14:textId="77777777">
        <w:trPr>
          <w:tblCellSpacing w:w="15" w:type="dxa"/>
        </w:trPr>
        <w:tc>
          <w:tcPr>
            <w:tcW w:w="0" w:type="auto"/>
            <w:vAlign w:val="center"/>
            <w:hideMark/>
          </w:tcPr>
          <w:p w14:paraId="1ECF4375" w14:textId="77777777" w:rsidR="007A6E18" w:rsidRPr="007A6E18" w:rsidRDefault="007A6E18" w:rsidP="007A6E18">
            <w:r w:rsidRPr="007A6E18">
              <w:rPr>
                <w:b/>
                <w:bCs/>
              </w:rPr>
              <w:t>2025-04-30</w:t>
            </w:r>
          </w:p>
        </w:tc>
        <w:tc>
          <w:tcPr>
            <w:tcW w:w="0" w:type="auto"/>
            <w:vAlign w:val="center"/>
            <w:hideMark/>
          </w:tcPr>
          <w:p w14:paraId="105B9C59" w14:textId="77777777" w:rsidR="007A6E18" w:rsidRPr="007A6E18" w:rsidRDefault="007A6E18" w:rsidP="007A6E18">
            <w:r w:rsidRPr="007A6E18">
              <w:t>2025-04-29</w:t>
            </w:r>
          </w:p>
        </w:tc>
        <w:tc>
          <w:tcPr>
            <w:tcW w:w="0" w:type="auto"/>
            <w:vAlign w:val="center"/>
            <w:hideMark/>
          </w:tcPr>
          <w:p w14:paraId="2589C8B1" w14:textId="77777777" w:rsidR="007A6E18" w:rsidRPr="007A6E18" w:rsidRDefault="007A6E18" w:rsidP="007A6E18">
            <w:r w:rsidRPr="007A6E18">
              <w:t>8-K</w:t>
            </w:r>
          </w:p>
        </w:tc>
        <w:tc>
          <w:tcPr>
            <w:tcW w:w="0" w:type="auto"/>
            <w:vAlign w:val="center"/>
            <w:hideMark/>
          </w:tcPr>
          <w:p w14:paraId="31E4F748" w14:textId="77777777" w:rsidR="007A6E18" w:rsidRPr="007A6E18" w:rsidRDefault="007A6E18" w:rsidP="007A6E18">
            <w:r w:rsidRPr="007A6E18">
              <w:t>Item 8.01</w:t>
            </w:r>
          </w:p>
        </w:tc>
        <w:tc>
          <w:tcPr>
            <w:tcW w:w="0" w:type="auto"/>
            <w:vAlign w:val="center"/>
            <w:hideMark/>
          </w:tcPr>
          <w:p w14:paraId="37EF5BD9" w14:textId="77777777" w:rsidR="007A6E18" w:rsidRPr="007A6E18" w:rsidRDefault="007A6E18" w:rsidP="007A6E18">
            <w:r w:rsidRPr="007A6E18">
              <w:t>Other events</w:t>
            </w:r>
          </w:p>
        </w:tc>
      </w:tr>
      <w:tr w:rsidR="007A6E18" w:rsidRPr="007A6E18" w14:paraId="5B7221EC" w14:textId="77777777">
        <w:trPr>
          <w:tblCellSpacing w:w="15" w:type="dxa"/>
        </w:trPr>
        <w:tc>
          <w:tcPr>
            <w:tcW w:w="0" w:type="auto"/>
            <w:vAlign w:val="center"/>
            <w:hideMark/>
          </w:tcPr>
          <w:p w14:paraId="3D9C06AE" w14:textId="77777777" w:rsidR="007A6E18" w:rsidRPr="007A6E18" w:rsidRDefault="007A6E18" w:rsidP="007A6E18">
            <w:r w:rsidRPr="007A6E18">
              <w:rPr>
                <w:b/>
                <w:bCs/>
              </w:rPr>
              <w:lastRenderedPageBreak/>
              <w:t>2025-04-02</w:t>
            </w:r>
          </w:p>
        </w:tc>
        <w:tc>
          <w:tcPr>
            <w:tcW w:w="0" w:type="auto"/>
            <w:vAlign w:val="center"/>
            <w:hideMark/>
          </w:tcPr>
          <w:p w14:paraId="25B92624" w14:textId="77777777" w:rsidR="007A6E18" w:rsidRPr="007A6E18" w:rsidRDefault="007A6E18" w:rsidP="007A6E18">
            <w:r w:rsidRPr="007A6E18">
              <w:t>2025-04-02</w:t>
            </w:r>
          </w:p>
        </w:tc>
        <w:tc>
          <w:tcPr>
            <w:tcW w:w="0" w:type="auto"/>
            <w:vAlign w:val="center"/>
            <w:hideMark/>
          </w:tcPr>
          <w:p w14:paraId="4AF90041" w14:textId="77777777" w:rsidR="007A6E18" w:rsidRPr="007A6E18" w:rsidRDefault="007A6E18" w:rsidP="007A6E18">
            <w:r w:rsidRPr="007A6E18">
              <w:t>8-K</w:t>
            </w:r>
          </w:p>
        </w:tc>
        <w:tc>
          <w:tcPr>
            <w:tcW w:w="0" w:type="auto"/>
            <w:vAlign w:val="center"/>
            <w:hideMark/>
          </w:tcPr>
          <w:p w14:paraId="4D8B9AE6" w14:textId="77777777" w:rsidR="007A6E18" w:rsidRPr="007A6E18" w:rsidRDefault="007A6E18" w:rsidP="007A6E18">
            <w:r w:rsidRPr="007A6E18">
              <w:t>Item 5.02</w:t>
            </w:r>
          </w:p>
        </w:tc>
        <w:tc>
          <w:tcPr>
            <w:tcW w:w="0" w:type="auto"/>
            <w:vAlign w:val="center"/>
            <w:hideMark/>
          </w:tcPr>
          <w:p w14:paraId="7FC248DC" w14:textId="77777777" w:rsidR="007A6E18" w:rsidRPr="007A6E18" w:rsidRDefault="007A6E18" w:rsidP="007A6E18">
            <w:r w:rsidRPr="007A6E18">
              <w:t>Director changes</w:t>
            </w:r>
          </w:p>
        </w:tc>
      </w:tr>
      <w:tr w:rsidR="007A6E18" w:rsidRPr="007A6E18" w14:paraId="570A805E" w14:textId="77777777">
        <w:trPr>
          <w:tblCellSpacing w:w="15" w:type="dxa"/>
        </w:trPr>
        <w:tc>
          <w:tcPr>
            <w:tcW w:w="0" w:type="auto"/>
            <w:vAlign w:val="center"/>
            <w:hideMark/>
          </w:tcPr>
          <w:p w14:paraId="448C3A45" w14:textId="77777777" w:rsidR="007A6E18" w:rsidRPr="007A6E18" w:rsidRDefault="007A6E18" w:rsidP="007A6E18">
            <w:r w:rsidRPr="007A6E18">
              <w:rPr>
                <w:b/>
                <w:bCs/>
              </w:rPr>
              <w:t>2025-03-07</w:t>
            </w:r>
          </w:p>
        </w:tc>
        <w:tc>
          <w:tcPr>
            <w:tcW w:w="0" w:type="auto"/>
            <w:vAlign w:val="center"/>
            <w:hideMark/>
          </w:tcPr>
          <w:p w14:paraId="52A4333F" w14:textId="77777777" w:rsidR="007A6E18" w:rsidRPr="007A6E18" w:rsidRDefault="007A6E18" w:rsidP="007A6E18">
            <w:r w:rsidRPr="007A6E18">
              <w:t>2025-01-31</w:t>
            </w:r>
          </w:p>
        </w:tc>
        <w:tc>
          <w:tcPr>
            <w:tcW w:w="0" w:type="auto"/>
            <w:vAlign w:val="center"/>
            <w:hideMark/>
          </w:tcPr>
          <w:p w14:paraId="004ECAFD" w14:textId="77777777" w:rsidR="007A6E18" w:rsidRPr="007A6E18" w:rsidRDefault="007A6E18" w:rsidP="007A6E18">
            <w:r w:rsidRPr="007A6E18">
              <w:rPr>
                <w:b/>
                <w:bCs/>
              </w:rPr>
              <w:t>10-K</w:t>
            </w:r>
          </w:p>
        </w:tc>
        <w:tc>
          <w:tcPr>
            <w:tcW w:w="0" w:type="auto"/>
            <w:vAlign w:val="center"/>
            <w:hideMark/>
          </w:tcPr>
          <w:p w14:paraId="69CDE9E1" w14:textId="77777777" w:rsidR="007A6E18" w:rsidRPr="007A6E18" w:rsidRDefault="007A6E18" w:rsidP="007A6E18">
            <w:r w:rsidRPr="007A6E18">
              <w:t>Annual report</w:t>
            </w:r>
          </w:p>
        </w:tc>
        <w:tc>
          <w:tcPr>
            <w:tcW w:w="0" w:type="auto"/>
            <w:vAlign w:val="center"/>
            <w:hideMark/>
          </w:tcPr>
          <w:p w14:paraId="1B924FC2" w14:textId="77777777" w:rsidR="007A6E18" w:rsidRPr="007A6E18" w:rsidRDefault="007A6E18" w:rsidP="007A6E18">
            <w:r w:rsidRPr="007A6E18">
              <w:t>FY2025 results</w:t>
            </w:r>
          </w:p>
        </w:tc>
      </w:tr>
      <w:tr w:rsidR="007A6E18" w:rsidRPr="007A6E18" w14:paraId="0DE96771" w14:textId="77777777">
        <w:trPr>
          <w:tblCellSpacing w:w="15" w:type="dxa"/>
        </w:trPr>
        <w:tc>
          <w:tcPr>
            <w:tcW w:w="0" w:type="auto"/>
            <w:vAlign w:val="center"/>
            <w:hideMark/>
          </w:tcPr>
          <w:p w14:paraId="48EB8D82" w14:textId="77777777" w:rsidR="007A6E18" w:rsidRPr="007A6E18" w:rsidRDefault="007A6E18" w:rsidP="007A6E18">
            <w:r w:rsidRPr="007A6E18">
              <w:rPr>
                <w:b/>
                <w:bCs/>
              </w:rPr>
              <w:t>2025-01-14</w:t>
            </w:r>
          </w:p>
        </w:tc>
        <w:tc>
          <w:tcPr>
            <w:tcW w:w="0" w:type="auto"/>
            <w:vAlign w:val="center"/>
            <w:hideMark/>
          </w:tcPr>
          <w:p w14:paraId="0FA09BA2" w14:textId="77777777" w:rsidR="007A6E18" w:rsidRPr="007A6E18" w:rsidRDefault="007A6E18" w:rsidP="007A6E18">
            <w:r w:rsidRPr="007A6E18">
              <w:t>2025-01-14</w:t>
            </w:r>
          </w:p>
        </w:tc>
        <w:tc>
          <w:tcPr>
            <w:tcW w:w="0" w:type="auto"/>
            <w:vAlign w:val="center"/>
            <w:hideMark/>
          </w:tcPr>
          <w:p w14:paraId="1F7F3C71" w14:textId="77777777" w:rsidR="007A6E18" w:rsidRPr="007A6E18" w:rsidRDefault="007A6E18" w:rsidP="007A6E18">
            <w:r w:rsidRPr="007A6E18">
              <w:t>8-K</w:t>
            </w:r>
          </w:p>
        </w:tc>
        <w:tc>
          <w:tcPr>
            <w:tcW w:w="0" w:type="auto"/>
            <w:vAlign w:val="center"/>
            <w:hideMark/>
          </w:tcPr>
          <w:p w14:paraId="6F3E836E" w14:textId="77777777" w:rsidR="007A6E18" w:rsidRPr="007A6E18" w:rsidRDefault="007A6E18" w:rsidP="007A6E18">
            <w:r w:rsidRPr="007A6E18">
              <w:t>Item 5.07</w:t>
            </w:r>
          </w:p>
        </w:tc>
        <w:tc>
          <w:tcPr>
            <w:tcW w:w="0" w:type="auto"/>
            <w:vAlign w:val="center"/>
            <w:hideMark/>
          </w:tcPr>
          <w:p w14:paraId="4C44FEA2" w14:textId="77777777" w:rsidR="007A6E18" w:rsidRPr="007A6E18" w:rsidRDefault="007A6E18" w:rsidP="007A6E18">
            <w:r w:rsidRPr="007A6E18">
              <w:t>Shareholder matters</w:t>
            </w:r>
          </w:p>
        </w:tc>
      </w:tr>
      <w:tr w:rsidR="007A6E18" w:rsidRPr="007A6E18" w14:paraId="3C5F3502" w14:textId="77777777">
        <w:trPr>
          <w:tblCellSpacing w:w="15" w:type="dxa"/>
        </w:trPr>
        <w:tc>
          <w:tcPr>
            <w:tcW w:w="0" w:type="auto"/>
            <w:vAlign w:val="center"/>
            <w:hideMark/>
          </w:tcPr>
          <w:p w14:paraId="4E3224AE" w14:textId="77777777" w:rsidR="007A6E18" w:rsidRPr="007A6E18" w:rsidRDefault="007A6E18" w:rsidP="007A6E18">
            <w:r w:rsidRPr="007A6E18">
              <w:rPr>
                <w:b/>
                <w:bCs/>
              </w:rPr>
              <w:t>2024-10-28</w:t>
            </w:r>
          </w:p>
        </w:tc>
        <w:tc>
          <w:tcPr>
            <w:tcW w:w="0" w:type="auto"/>
            <w:vAlign w:val="center"/>
            <w:hideMark/>
          </w:tcPr>
          <w:p w14:paraId="74B5FDC0" w14:textId="77777777" w:rsidR="007A6E18" w:rsidRPr="007A6E18" w:rsidRDefault="007A6E18" w:rsidP="007A6E18">
            <w:r w:rsidRPr="007A6E18">
              <w:t>2024-10-28</w:t>
            </w:r>
          </w:p>
        </w:tc>
        <w:tc>
          <w:tcPr>
            <w:tcW w:w="0" w:type="auto"/>
            <w:vAlign w:val="center"/>
            <w:hideMark/>
          </w:tcPr>
          <w:p w14:paraId="04D4A717" w14:textId="77777777" w:rsidR="007A6E18" w:rsidRPr="007A6E18" w:rsidRDefault="007A6E18" w:rsidP="007A6E18">
            <w:r w:rsidRPr="007A6E18">
              <w:t>8-K</w:t>
            </w:r>
          </w:p>
        </w:tc>
        <w:tc>
          <w:tcPr>
            <w:tcW w:w="0" w:type="auto"/>
            <w:vAlign w:val="center"/>
            <w:hideMark/>
          </w:tcPr>
          <w:p w14:paraId="6D1AC60A" w14:textId="77777777" w:rsidR="007A6E18" w:rsidRPr="007A6E18" w:rsidRDefault="007A6E18" w:rsidP="007A6E18">
            <w:r w:rsidRPr="007A6E18">
              <w:t>Item 9.01</w:t>
            </w:r>
          </w:p>
        </w:tc>
        <w:tc>
          <w:tcPr>
            <w:tcW w:w="0" w:type="auto"/>
            <w:vAlign w:val="center"/>
            <w:hideMark/>
          </w:tcPr>
          <w:p w14:paraId="372C5FAD" w14:textId="77777777" w:rsidR="007A6E18" w:rsidRPr="007A6E18" w:rsidRDefault="007A6E18" w:rsidP="007A6E18">
            <w:r w:rsidRPr="007A6E18">
              <w:t>Financial statements</w:t>
            </w:r>
          </w:p>
        </w:tc>
      </w:tr>
      <w:tr w:rsidR="007A6E18" w:rsidRPr="007A6E18" w14:paraId="53110FCD" w14:textId="77777777">
        <w:trPr>
          <w:tblCellSpacing w:w="15" w:type="dxa"/>
        </w:trPr>
        <w:tc>
          <w:tcPr>
            <w:tcW w:w="0" w:type="auto"/>
            <w:vAlign w:val="center"/>
            <w:hideMark/>
          </w:tcPr>
          <w:p w14:paraId="2B815A4E" w14:textId="77777777" w:rsidR="007A6E18" w:rsidRPr="007A6E18" w:rsidRDefault="007A6E18" w:rsidP="007A6E18">
            <w:r w:rsidRPr="007A6E18">
              <w:rPr>
                <w:b/>
                <w:bCs/>
              </w:rPr>
              <w:t>2024-08-09</w:t>
            </w:r>
          </w:p>
        </w:tc>
        <w:tc>
          <w:tcPr>
            <w:tcW w:w="0" w:type="auto"/>
            <w:vAlign w:val="center"/>
            <w:hideMark/>
          </w:tcPr>
          <w:p w14:paraId="1C722E3E" w14:textId="77777777" w:rsidR="007A6E18" w:rsidRPr="007A6E18" w:rsidRDefault="007A6E18" w:rsidP="007A6E18">
            <w:r w:rsidRPr="007A6E18">
              <w:t>2024-07-27</w:t>
            </w:r>
          </w:p>
        </w:tc>
        <w:tc>
          <w:tcPr>
            <w:tcW w:w="0" w:type="auto"/>
            <w:vAlign w:val="center"/>
            <w:hideMark/>
          </w:tcPr>
          <w:p w14:paraId="6364B413" w14:textId="77777777" w:rsidR="007A6E18" w:rsidRPr="007A6E18" w:rsidRDefault="007A6E18" w:rsidP="007A6E18">
            <w:r w:rsidRPr="007A6E18">
              <w:t>10-Q</w:t>
            </w:r>
          </w:p>
        </w:tc>
        <w:tc>
          <w:tcPr>
            <w:tcW w:w="0" w:type="auto"/>
            <w:vAlign w:val="center"/>
            <w:hideMark/>
          </w:tcPr>
          <w:p w14:paraId="295D158B" w14:textId="77777777" w:rsidR="007A6E18" w:rsidRPr="007A6E18" w:rsidRDefault="007A6E18" w:rsidP="007A6E18">
            <w:r w:rsidRPr="007A6E18">
              <w:t>Quarterly report</w:t>
            </w:r>
          </w:p>
        </w:tc>
        <w:tc>
          <w:tcPr>
            <w:tcW w:w="0" w:type="auto"/>
            <w:vAlign w:val="center"/>
            <w:hideMark/>
          </w:tcPr>
          <w:p w14:paraId="73104AC3" w14:textId="77777777" w:rsidR="007A6E18" w:rsidRPr="007A6E18" w:rsidRDefault="007A6E18" w:rsidP="007A6E18">
            <w:r w:rsidRPr="007A6E18">
              <w:t>Q2 2024 financials</w:t>
            </w:r>
          </w:p>
        </w:tc>
      </w:tr>
    </w:tbl>
    <w:p w14:paraId="50981A24" w14:textId="77777777" w:rsidR="007A6E18" w:rsidRPr="007A6E18" w:rsidRDefault="007A6E18" w:rsidP="007A6E18">
      <w:pPr>
        <w:rPr>
          <w:b/>
          <w:bCs/>
        </w:rPr>
      </w:pPr>
      <w:r w:rsidRPr="007A6E18">
        <w:rPr>
          <w:b/>
          <w:bCs/>
        </w:rPr>
        <w:t>Critical Filing Analysis</w:t>
      </w:r>
    </w:p>
    <w:p w14:paraId="762FBBC7" w14:textId="77777777" w:rsidR="007A6E18" w:rsidRPr="007A6E18" w:rsidRDefault="007A6E18" w:rsidP="007A6E18">
      <w:pPr>
        <w:numPr>
          <w:ilvl w:val="0"/>
          <w:numId w:val="2"/>
        </w:numPr>
      </w:pPr>
      <w:r w:rsidRPr="007A6E18">
        <w:rPr>
          <w:b/>
          <w:bCs/>
        </w:rPr>
        <w:t>Most Recent</w:t>
      </w:r>
      <w:r w:rsidRPr="007A6E18">
        <w:t xml:space="preserve">: July 31, </w:t>
      </w:r>
      <w:proofErr w:type="gramStart"/>
      <w:r w:rsidRPr="007A6E18">
        <w:t>2025</w:t>
      </w:r>
      <w:proofErr w:type="gramEnd"/>
      <w:r w:rsidRPr="007A6E18">
        <w:t xml:space="preserve"> 8-K (Item 2.02) - Likely contains updated earnings guidance</w:t>
      </w:r>
    </w:p>
    <w:p w14:paraId="2043C64B" w14:textId="77777777" w:rsidR="007A6E18" w:rsidRPr="007A6E18" w:rsidRDefault="007A6E18" w:rsidP="007A6E18">
      <w:pPr>
        <w:numPr>
          <w:ilvl w:val="0"/>
          <w:numId w:val="2"/>
        </w:numPr>
      </w:pPr>
      <w:r w:rsidRPr="007A6E18">
        <w:rPr>
          <w:b/>
          <w:bCs/>
        </w:rPr>
        <w:t>Annual Comprehensive</w:t>
      </w:r>
      <w:r w:rsidRPr="007A6E18">
        <w:t xml:space="preserve">: March 7, </w:t>
      </w:r>
      <w:proofErr w:type="gramStart"/>
      <w:r w:rsidRPr="007A6E18">
        <w:t>2025</w:t>
      </w:r>
      <w:proofErr w:type="gramEnd"/>
      <w:r w:rsidRPr="007A6E18">
        <w:t xml:space="preserve"> 10-K - Full FY2025 results and strategic outlook</w:t>
      </w:r>
    </w:p>
    <w:p w14:paraId="631AEE9B" w14:textId="77777777" w:rsidR="007A6E18" w:rsidRPr="007A6E18" w:rsidRDefault="007A6E18" w:rsidP="007A6E18">
      <w:pPr>
        <w:numPr>
          <w:ilvl w:val="0"/>
          <w:numId w:val="2"/>
        </w:numPr>
      </w:pPr>
      <w:r w:rsidRPr="007A6E18">
        <w:rPr>
          <w:b/>
          <w:bCs/>
        </w:rPr>
        <w:t>Governance Changes</w:t>
      </w:r>
      <w:r w:rsidRPr="007A6E18">
        <w:t xml:space="preserve">: April 2, </w:t>
      </w:r>
      <w:proofErr w:type="gramStart"/>
      <w:r w:rsidRPr="007A6E18">
        <w:t>2025</w:t>
      </w:r>
      <w:proofErr w:type="gramEnd"/>
      <w:r w:rsidRPr="007A6E18">
        <w:t xml:space="preserve"> 8-K (Item 5.02) - Board/director updates</w:t>
      </w:r>
    </w:p>
    <w:p w14:paraId="1B409577" w14:textId="77777777" w:rsidR="007A6E18" w:rsidRPr="007A6E18" w:rsidRDefault="007A6E18" w:rsidP="007A6E18">
      <w:pPr>
        <w:numPr>
          <w:ilvl w:val="0"/>
          <w:numId w:val="2"/>
        </w:numPr>
      </w:pPr>
      <w:r w:rsidRPr="007A6E18">
        <w:rPr>
          <w:b/>
          <w:bCs/>
        </w:rPr>
        <w:t>Quarterly Updates</w:t>
      </w:r>
      <w:r w:rsidRPr="007A6E18">
        <w:t>: Regular 10-Q filings show ongoing financial reporting</w:t>
      </w:r>
    </w:p>
    <w:p w14:paraId="17B2B1F3" w14:textId="77777777" w:rsidR="007A6E18" w:rsidRPr="007A6E18" w:rsidRDefault="007A6E18" w:rsidP="007A6E18">
      <w:r w:rsidRPr="007A6E18">
        <w:pict w14:anchorId="6A41B690">
          <v:rect id="_x0000_i1045" style="width:0;height:1.5pt" o:hralign="center" o:hrstd="t" o:hr="t" fillcolor="#a0a0a0" stroked="f"/>
        </w:pict>
      </w:r>
    </w:p>
    <w:p w14:paraId="3D618833" w14:textId="77777777" w:rsidR="007A6E18" w:rsidRPr="007A6E18" w:rsidRDefault="007A6E18" w:rsidP="007A6E18">
      <w:pPr>
        <w:rPr>
          <w:b/>
          <w:bCs/>
        </w:rPr>
      </w:pPr>
      <w:r w:rsidRPr="007A6E18">
        <w:rPr>
          <w:b/>
          <w:bCs/>
        </w:rPr>
        <w:t>3. Financial Performance Overview</w:t>
      </w:r>
    </w:p>
    <w:p w14:paraId="61B2ECF5" w14:textId="77777777" w:rsidR="007A6E18" w:rsidRPr="007A6E18" w:rsidRDefault="007A6E18" w:rsidP="007A6E18">
      <w:pPr>
        <w:rPr>
          <w:b/>
          <w:bCs/>
        </w:rPr>
      </w:pPr>
      <w:r w:rsidRPr="007A6E18">
        <w:rPr>
          <w:b/>
          <w:bCs/>
        </w:rPr>
        <w:t>Revenue Trends (USD)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1007"/>
        <w:gridCol w:w="1360"/>
      </w:tblGrid>
      <w:tr w:rsidR="007A6E18" w:rsidRPr="007A6E18" w14:paraId="701C3BE9" w14:textId="77777777">
        <w:trPr>
          <w:tblHeader/>
          <w:tblCellSpacing w:w="15" w:type="dxa"/>
        </w:trPr>
        <w:tc>
          <w:tcPr>
            <w:tcW w:w="0" w:type="auto"/>
            <w:vAlign w:val="center"/>
            <w:hideMark/>
          </w:tcPr>
          <w:p w14:paraId="28396A71" w14:textId="77777777" w:rsidR="007A6E18" w:rsidRPr="007A6E18" w:rsidRDefault="007A6E18" w:rsidP="007A6E18">
            <w:pPr>
              <w:rPr>
                <w:b/>
                <w:bCs/>
              </w:rPr>
            </w:pPr>
            <w:r w:rsidRPr="007A6E18">
              <w:rPr>
                <w:b/>
                <w:bCs/>
              </w:rPr>
              <w:t>Fiscal Year End</w:t>
            </w:r>
          </w:p>
        </w:tc>
        <w:tc>
          <w:tcPr>
            <w:tcW w:w="0" w:type="auto"/>
            <w:vAlign w:val="center"/>
            <w:hideMark/>
          </w:tcPr>
          <w:p w14:paraId="3DB5390F" w14:textId="77777777" w:rsidR="007A6E18" w:rsidRPr="007A6E18" w:rsidRDefault="007A6E18" w:rsidP="007A6E18">
            <w:pPr>
              <w:rPr>
                <w:b/>
                <w:bCs/>
              </w:rPr>
            </w:pPr>
            <w:r w:rsidRPr="007A6E18">
              <w:rPr>
                <w:b/>
                <w:bCs/>
              </w:rPr>
              <w:t>Revenue</w:t>
            </w:r>
          </w:p>
        </w:tc>
        <w:tc>
          <w:tcPr>
            <w:tcW w:w="0" w:type="auto"/>
            <w:vAlign w:val="center"/>
            <w:hideMark/>
          </w:tcPr>
          <w:p w14:paraId="6C5ABD47" w14:textId="77777777" w:rsidR="007A6E18" w:rsidRPr="007A6E18" w:rsidRDefault="007A6E18" w:rsidP="007A6E18">
            <w:pPr>
              <w:rPr>
                <w:b/>
                <w:bCs/>
              </w:rPr>
            </w:pPr>
            <w:r w:rsidRPr="007A6E18">
              <w:rPr>
                <w:b/>
                <w:bCs/>
              </w:rPr>
              <w:t>YoY Change</w:t>
            </w:r>
          </w:p>
        </w:tc>
      </w:tr>
      <w:tr w:rsidR="007A6E18" w:rsidRPr="007A6E18" w14:paraId="1C1CADFF" w14:textId="77777777">
        <w:trPr>
          <w:tblCellSpacing w:w="15" w:type="dxa"/>
        </w:trPr>
        <w:tc>
          <w:tcPr>
            <w:tcW w:w="0" w:type="auto"/>
            <w:vAlign w:val="center"/>
            <w:hideMark/>
          </w:tcPr>
          <w:p w14:paraId="063341E0" w14:textId="77777777" w:rsidR="007A6E18" w:rsidRPr="007A6E18" w:rsidRDefault="007A6E18" w:rsidP="007A6E18">
            <w:r w:rsidRPr="007A6E18">
              <w:t>Jan 31, 2025</w:t>
            </w:r>
          </w:p>
        </w:tc>
        <w:tc>
          <w:tcPr>
            <w:tcW w:w="0" w:type="auto"/>
            <w:vAlign w:val="center"/>
            <w:hideMark/>
          </w:tcPr>
          <w:p w14:paraId="7772D4F6" w14:textId="77777777" w:rsidR="007A6E18" w:rsidRPr="007A6E18" w:rsidRDefault="007A6E18" w:rsidP="007A6E18">
            <w:r w:rsidRPr="007A6E18">
              <w:t>$3.82B</w:t>
            </w:r>
          </w:p>
        </w:tc>
        <w:tc>
          <w:tcPr>
            <w:tcW w:w="0" w:type="auto"/>
            <w:vAlign w:val="center"/>
            <w:hideMark/>
          </w:tcPr>
          <w:p w14:paraId="0B60D01D" w14:textId="77777777" w:rsidR="007A6E18" w:rsidRPr="007A6E18" w:rsidRDefault="007A6E18" w:rsidP="007A6E18">
            <w:r w:rsidRPr="007A6E18">
              <w:t>-27.5%</w:t>
            </w:r>
          </w:p>
        </w:tc>
      </w:tr>
      <w:tr w:rsidR="007A6E18" w:rsidRPr="007A6E18" w14:paraId="171ECAB5" w14:textId="77777777">
        <w:trPr>
          <w:tblCellSpacing w:w="15" w:type="dxa"/>
        </w:trPr>
        <w:tc>
          <w:tcPr>
            <w:tcW w:w="0" w:type="auto"/>
            <w:vAlign w:val="center"/>
            <w:hideMark/>
          </w:tcPr>
          <w:p w14:paraId="134BD1BA" w14:textId="77777777" w:rsidR="007A6E18" w:rsidRPr="007A6E18" w:rsidRDefault="007A6E18" w:rsidP="007A6E18">
            <w:r w:rsidRPr="007A6E18">
              <w:t>Jan 31, 2024</w:t>
            </w:r>
          </w:p>
        </w:tc>
        <w:tc>
          <w:tcPr>
            <w:tcW w:w="0" w:type="auto"/>
            <w:vAlign w:val="center"/>
            <w:hideMark/>
          </w:tcPr>
          <w:p w14:paraId="5EB987FD" w14:textId="77777777" w:rsidR="007A6E18" w:rsidRPr="007A6E18" w:rsidRDefault="007A6E18" w:rsidP="007A6E18">
            <w:r w:rsidRPr="007A6E18">
              <w:t>$5.27B</w:t>
            </w:r>
          </w:p>
        </w:tc>
        <w:tc>
          <w:tcPr>
            <w:tcW w:w="0" w:type="auto"/>
            <w:vAlign w:val="center"/>
            <w:hideMark/>
          </w:tcPr>
          <w:p w14:paraId="0EA2D053" w14:textId="77777777" w:rsidR="007A6E18" w:rsidRPr="007A6E18" w:rsidRDefault="007A6E18" w:rsidP="007A6E18">
            <w:r w:rsidRPr="007A6E18">
              <w:t>-11.0%</w:t>
            </w:r>
          </w:p>
        </w:tc>
      </w:tr>
      <w:tr w:rsidR="007A6E18" w:rsidRPr="007A6E18" w14:paraId="30CDD9CB" w14:textId="77777777">
        <w:trPr>
          <w:tblCellSpacing w:w="15" w:type="dxa"/>
        </w:trPr>
        <w:tc>
          <w:tcPr>
            <w:tcW w:w="0" w:type="auto"/>
            <w:vAlign w:val="center"/>
            <w:hideMark/>
          </w:tcPr>
          <w:p w14:paraId="13535155" w14:textId="77777777" w:rsidR="007A6E18" w:rsidRPr="007A6E18" w:rsidRDefault="007A6E18" w:rsidP="007A6E18">
            <w:r w:rsidRPr="007A6E18">
              <w:t>Jan 31, 2023</w:t>
            </w:r>
          </w:p>
        </w:tc>
        <w:tc>
          <w:tcPr>
            <w:tcW w:w="0" w:type="auto"/>
            <w:vAlign w:val="center"/>
            <w:hideMark/>
          </w:tcPr>
          <w:p w14:paraId="7E63D99B" w14:textId="77777777" w:rsidR="007A6E18" w:rsidRPr="007A6E18" w:rsidRDefault="007A6E18" w:rsidP="007A6E18">
            <w:r w:rsidRPr="007A6E18">
              <w:t>$5.93B</w:t>
            </w:r>
          </w:p>
        </w:tc>
        <w:tc>
          <w:tcPr>
            <w:tcW w:w="0" w:type="auto"/>
            <w:vAlign w:val="center"/>
            <w:hideMark/>
          </w:tcPr>
          <w:p w14:paraId="57A00432" w14:textId="77777777" w:rsidR="007A6E18" w:rsidRPr="007A6E18" w:rsidRDefault="007A6E18" w:rsidP="007A6E18">
            <w:r w:rsidRPr="007A6E18">
              <w:t>-1.4%</w:t>
            </w:r>
          </w:p>
        </w:tc>
      </w:tr>
      <w:tr w:rsidR="007A6E18" w:rsidRPr="007A6E18" w14:paraId="21A70E69" w14:textId="77777777">
        <w:trPr>
          <w:tblCellSpacing w:w="15" w:type="dxa"/>
        </w:trPr>
        <w:tc>
          <w:tcPr>
            <w:tcW w:w="0" w:type="auto"/>
            <w:vAlign w:val="center"/>
            <w:hideMark/>
          </w:tcPr>
          <w:p w14:paraId="6428FC3D" w14:textId="77777777" w:rsidR="007A6E18" w:rsidRPr="007A6E18" w:rsidRDefault="007A6E18" w:rsidP="007A6E18">
            <w:r w:rsidRPr="007A6E18">
              <w:t>Jan 31, 2022</w:t>
            </w:r>
          </w:p>
        </w:tc>
        <w:tc>
          <w:tcPr>
            <w:tcW w:w="0" w:type="auto"/>
            <w:vAlign w:val="center"/>
            <w:hideMark/>
          </w:tcPr>
          <w:p w14:paraId="1361928B" w14:textId="77777777" w:rsidR="007A6E18" w:rsidRPr="007A6E18" w:rsidRDefault="007A6E18" w:rsidP="007A6E18">
            <w:r w:rsidRPr="007A6E18">
              <w:t>$6.01B</w:t>
            </w:r>
          </w:p>
        </w:tc>
        <w:tc>
          <w:tcPr>
            <w:tcW w:w="0" w:type="auto"/>
            <w:vAlign w:val="center"/>
            <w:hideMark/>
          </w:tcPr>
          <w:p w14:paraId="213FA4EE" w14:textId="77777777" w:rsidR="007A6E18" w:rsidRPr="007A6E18" w:rsidRDefault="007A6E18" w:rsidP="007A6E18">
            <w:r w:rsidRPr="007A6E18">
              <w:t>Baseline</w:t>
            </w:r>
          </w:p>
        </w:tc>
      </w:tr>
    </w:tbl>
    <w:p w14:paraId="20E0A4B8" w14:textId="77777777" w:rsidR="007A6E18" w:rsidRPr="007A6E18" w:rsidRDefault="007A6E18" w:rsidP="007A6E18">
      <w:r w:rsidRPr="007A6E18">
        <w:rPr>
          <w:b/>
          <w:bCs/>
        </w:rPr>
        <w:t>Analysis</w:t>
      </w:r>
      <w:r w:rsidRPr="007A6E18">
        <w:t>: Consistent revenue decline reflecting retail challenges and strategic transition.</w:t>
      </w:r>
    </w:p>
    <w:p w14:paraId="651BE0C3" w14:textId="77777777" w:rsidR="007A6E18" w:rsidRPr="007A6E18" w:rsidRDefault="007A6E18" w:rsidP="007A6E18">
      <w:pPr>
        <w:rPr>
          <w:b/>
          <w:bCs/>
        </w:rPr>
      </w:pPr>
      <w:r w:rsidRPr="007A6E18">
        <w:rPr>
          <w:b/>
          <w:bCs/>
        </w:rPr>
        <w:t>Profitability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960"/>
        <w:gridCol w:w="913"/>
        <w:gridCol w:w="1041"/>
        <w:gridCol w:w="1056"/>
      </w:tblGrid>
      <w:tr w:rsidR="007A6E18" w:rsidRPr="007A6E18" w14:paraId="4DD2977B" w14:textId="77777777">
        <w:trPr>
          <w:tblHeader/>
          <w:tblCellSpacing w:w="15" w:type="dxa"/>
        </w:trPr>
        <w:tc>
          <w:tcPr>
            <w:tcW w:w="0" w:type="auto"/>
            <w:vAlign w:val="center"/>
            <w:hideMark/>
          </w:tcPr>
          <w:p w14:paraId="798A8256" w14:textId="77777777" w:rsidR="007A6E18" w:rsidRPr="007A6E18" w:rsidRDefault="007A6E18" w:rsidP="007A6E18">
            <w:pPr>
              <w:rPr>
                <w:b/>
                <w:bCs/>
              </w:rPr>
            </w:pPr>
            <w:r w:rsidRPr="007A6E18">
              <w:rPr>
                <w:b/>
                <w:bCs/>
              </w:rPr>
              <w:lastRenderedPageBreak/>
              <w:t>Metric</w:t>
            </w:r>
          </w:p>
        </w:tc>
        <w:tc>
          <w:tcPr>
            <w:tcW w:w="0" w:type="auto"/>
            <w:vAlign w:val="center"/>
            <w:hideMark/>
          </w:tcPr>
          <w:p w14:paraId="51B713DA" w14:textId="77777777" w:rsidR="007A6E18" w:rsidRPr="007A6E18" w:rsidRDefault="007A6E18" w:rsidP="007A6E18">
            <w:pPr>
              <w:rPr>
                <w:b/>
                <w:bCs/>
              </w:rPr>
            </w:pPr>
            <w:r w:rsidRPr="007A6E18">
              <w:rPr>
                <w:b/>
                <w:bCs/>
              </w:rPr>
              <w:t>FY2025</w:t>
            </w:r>
          </w:p>
        </w:tc>
        <w:tc>
          <w:tcPr>
            <w:tcW w:w="0" w:type="auto"/>
            <w:vAlign w:val="center"/>
            <w:hideMark/>
          </w:tcPr>
          <w:p w14:paraId="778180B6" w14:textId="77777777" w:rsidR="007A6E18" w:rsidRPr="007A6E18" w:rsidRDefault="007A6E18" w:rsidP="007A6E18">
            <w:pPr>
              <w:rPr>
                <w:b/>
                <w:bCs/>
              </w:rPr>
            </w:pPr>
            <w:r w:rsidRPr="007A6E18">
              <w:rPr>
                <w:b/>
                <w:bCs/>
              </w:rPr>
              <w:t>FY2024</w:t>
            </w:r>
          </w:p>
        </w:tc>
        <w:tc>
          <w:tcPr>
            <w:tcW w:w="0" w:type="auto"/>
            <w:vAlign w:val="center"/>
            <w:hideMark/>
          </w:tcPr>
          <w:p w14:paraId="3E33C33F" w14:textId="77777777" w:rsidR="007A6E18" w:rsidRPr="007A6E18" w:rsidRDefault="007A6E18" w:rsidP="007A6E18">
            <w:pPr>
              <w:rPr>
                <w:b/>
                <w:bCs/>
              </w:rPr>
            </w:pPr>
            <w:r w:rsidRPr="007A6E18">
              <w:rPr>
                <w:b/>
                <w:bCs/>
              </w:rPr>
              <w:t>FY2023</w:t>
            </w:r>
          </w:p>
        </w:tc>
        <w:tc>
          <w:tcPr>
            <w:tcW w:w="0" w:type="auto"/>
            <w:vAlign w:val="center"/>
            <w:hideMark/>
          </w:tcPr>
          <w:p w14:paraId="62D62EE9" w14:textId="77777777" w:rsidR="007A6E18" w:rsidRPr="007A6E18" w:rsidRDefault="007A6E18" w:rsidP="007A6E18">
            <w:pPr>
              <w:rPr>
                <w:b/>
                <w:bCs/>
              </w:rPr>
            </w:pPr>
            <w:r w:rsidRPr="007A6E18">
              <w:rPr>
                <w:b/>
                <w:bCs/>
              </w:rPr>
              <w:t>FY2022</w:t>
            </w:r>
          </w:p>
        </w:tc>
      </w:tr>
      <w:tr w:rsidR="007A6E18" w:rsidRPr="007A6E18" w14:paraId="4BB03A21" w14:textId="77777777">
        <w:trPr>
          <w:tblCellSpacing w:w="15" w:type="dxa"/>
        </w:trPr>
        <w:tc>
          <w:tcPr>
            <w:tcW w:w="0" w:type="auto"/>
            <w:vAlign w:val="center"/>
            <w:hideMark/>
          </w:tcPr>
          <w:p w14:paraId="230A26AC" w14:textId="77777777" w:rsidR="007A6E18" w:rsidRPr="007A6E18" w:rsidRDefault="007A6E18" w:rsidP="007A6E18">
            <w:r w:rsidRPr="007A6E18">
              <w:t>Operating Income</w:t>
            </w:r>
          </w:p>
        </w:tc>
        <w:tc>
          <w:tcPr>
            <w:tcW w:w="0" w:type="auto"/>
            <w:vAlign w:val="center"/>
            <w:hideMark/>
          </w:tcPr>
          <w:p w14:paraId="577A57EB" w14:textId="77777777" w:rsidR="007A6E18" w:rsidRPr="007A6E18" w:rsidRDefault="007A6E18" w:rsidP="007A6E18">
            <w:r w:rsidRPr="007A6E18">
              <w:t>-$16.5M</w:t>
            </w:r>
          </w:p>
        </w:tc>
        <w:tc>
          <w:tcPr>
            <w:tcW w:w="0" w:type="auto"/>
            <w:vAlign w:val="center"/>
            <w:hideMark/>
          </w:tcPr>
          <w:p w14:paraId="0B8BBE7F" w14:textId="77777777" w:rsidR="007A6E18" w:rsidRPr="007A6E18" w:rsidRDefault="007A6E18" w:rsidP="007A6E18">
            <w:r w:rsidRPr="007A6E18">
              <w:t>-$29.7M</w:t>
            </w:r>
          </w:p>
        </w:tc>
        <w:tc>
          <w:tcPr>
            <w:tcW w:w="0" w:type="auto"/>
            <w:vAlign w:val="center"/>
            <w:hideMark/>
          </w:tcPr>
          <w:p w14:paraId="0B17C5BD" w14:textId="77777777" w:rsidR="007A6E18" w:rsidRPr="007A6E18" w:rsidRDefault="007A6E18" w:rsidP="007A6E18">
            <w:r w:rsidRPr="007A6E18">
              <w:t>-$308.9M</w:t>
            </w:r>
          </w:p>
        </w:tc>
        <w:tc>
          <w:tcPr>
            <w:tcW w:w="0" w:type="auto"/>
            <w:vAlign w:val="center"/>
            <w:hideMark/>
          </w:tcPr>
          <w:p w14:paraId="2A098E99" w14:textId="77777777" w:rsidR="007A6E18" w:rsidRPr="007A6E18" w:rsidRDefault="007A6E18" w:rsidP="007A6E18">
            <w:r w:rsidRPr="007A6E18">
              <w:t>-$361.8M</w:t>
            </w:r>
          </w:p>
        </w:tc>
      </w:tr>
      <w:tr w:rsidR="007A6E18" w:rsidRPr="007A6E18" w14:paraId="01E25F0C" w14:textId="77777777">
        <w:trPr>
          <w:tblCellSpacing w:w="15" w:type="dxa"/>
        </w:trPr>
        <w:tc>
          <w:tcPr>
            <w:tcW w:w="0" w:type="auto"/>
            <w:vAlign w:val="center"/>
            <w:hideMark/>
          </w:tcPr>
          <w:p w14:paraId="42B2E6D2" w14:textId="77777777" w:rsidR="007A6E18" w:rsidRPr="007A6E18" w:rsidRDefault="007A6E18" w:rsidP="007A6E18">
            <w:r w:rsidRPr="007A6E18">
              <w:t>Net Income</w:t>
            </w:r>
          </w:p>
        </w:tc>
        <w:tc>
          <w:tcPr>
            <w:tcW w:w="0" w:type="auto"/>
            <w:vAlign w:val="center"/>
            <w:hideMark/>
          </w:tcPr>
          <w:p w14:paraId="644DD02B" w14:textId="77777777" w:rsidR="007A6E18" w:rsidRPr="007A6E18" w:rsidRDefault="007A6E18" w:rsidP="007A6E18">
            <w:r w:rsidRPr="007A6E18">
              <w:t>$131.3M</w:t>
            </w:r>
          </w:p>
        </w:tc>
        <w:tc>
          <w:tcPr>
            <w:tcW w:w="0" w:type="auto"/>
            <w:vAlign w:val="center"/>
            <w:hideMark/>
          </w:tcPr>
          <w:p w14:paraId="1837DF36" w14:textId="77777777" w:rsidR="007A6E18" w:rsidRPr="007A6E18" w:rsidRDefault="007A6E18" w:rsidP="007A6E18">
            <w:r w:rsidRPr="007A6E18">
              <w:t>$6.7M</w:t>
            </w:r>
          </w:p>
        </w:tc>
        <w:tc>
          <w:tcPr>
            <w:tcW w:w="0" w:type="auto"/>
            <w:vAlign w:val="center"/>
            <w:hideMark/>
          </w:tcPr>
          <w:p w14:paraId="327AC913" w14:textId="77777777" w:rsidR="007A6E18" w:rsidRPr="007A6E18" w:rsidRDefault="007A6E18" w:rsidP="007A6E18">
            <w:r w:rsidRPr="007A6E18">
              <w:t>-$313.1M</w:t>
            </w:r>
          </w:p>
        </w:tc>
        <w:tc>
          <w:tcPr>
            <w:tcW w:w="0" w:type="auto"/>
            <w:vAlign w:val="center"/>
            <w:hideMark/>
          </w:tcPr>
          <w:p w14:paraId="2B80A90F" w14:textId="77777777" w:rsidR="007A6E18" w:rsidRPr="007A6E18" w:rsidRDefault="007A6E18" w:rsidP="007A6E18">
            <w:r w:rsidRPr="007A6E18">
              <w:t>-$381.3M</w:t>
            </w:r>
          </w:p>
        </w:tc>
      </w:tr>
    </w:tbl>
    <w:p w14:paraId="6465047B" w14:textId="77777777" w:rsidR="007A6E18" w:rsidRPr="007A6E18" w:rsidRDefault="007A6E18" w:rsidP="007A6E18">
      <w:r w:rsidRPr="007A6E18">
        <w:rPr>
          <w:b/>
          <w:bCs/>
        </w:rPr>
        <w:t>Key Insight</w:t>
      </w:r>
      <w:r w:rsidRPr="007A6E18">
        <w:t>: Dramatic profitability improvement with return to significant net income.</w:t>
      </w:r>
    </w:p>
    <w:p w14:paraId="1269DA93" w14:textId="77777777" w:rsidR="007A6E18" w:rsidRPr="007A6E18" w:rsidRDefault="007A6E18" w:rsidP="007A6E18">
      <w:pPr>
        <w:rPr>
          <w:b/>
          <w:bCs/>
        </w:rPr>
      </w:pPr>
      <w:r w:rsidRPr="007A6E18">
        <w:rPr>
          <w:b/>
          <w:bCs/>
        </w:rPr>
        <w:t>Balance Sheet Strength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gridCol w:w="843"/>
        <w:gridCol w:w="843"/>
        <w:gridCol w:w="843"/>
        <w:gridCol w:w="858"/>
      </w:tblGrid>
      <w:tr w:rsidR="007A6E18" w:rsidRPr="007A6E18" w14:paraId="7785880D" w14:textId="77777777">
        <w:trPr>
          <w:tblHeader/>
          <w:tblCellSpacing w:w="15" w:type="dxa"/>
        </w:trPr>
        <w:tc>
          <w:tcPr>
            <w:tcW w:w="0" w:type="auto"/>
            <w:vAlign w:val="center"/>
            <w:hideMark/>
          </w:tcPr>
          <w:p w14:paraId="01F2F580" w14:textId="77777777" w:rsidR="007A6E18" w:rsidRPr="007A6E18" w:rsidRDefault="007A6E18" w:rsidP="007A6E18">
            <w:pPr>
              <w:rPr>
                <w:b/>
                <w:bCs/>
              </w:rPr>
            </w:pPr>
            <w:r w:rsidRPr="007A6E18">
              <w:rPr>
                <w:b/>
                <w:bCs/>
              </w:rPr>
              <w:t>Metric</w:t>
            </w:r>
          </w:p>
        </w:tc>
        <w:tc>
          <w:tcPr>
            <w:tcW w:w="0" w:type="auto"/>
            <w:vAlign w:val="center"/>
            <w:hideMark/>
          </w:tcPr>
          <w:p w14:paraId="60C0D689" w14:textId="77777777" w:rsidR="007A6E18" w:rsidRPr="007A6E18" w:rsidRDefault="007A6E18" w:rsidP="007A6E18">
            <w:pPr>
              <w:rPr>
                <w:b/>
                <w:bCs/>
              </w:rPr>
            </w:pPr>
            <w:r w:rsidRPr="007A6E18">
              <w:rPr>
                <w:b/>
                <w:bCs/>
              </w:rPr>
              <w:t>FY2025</w:t>
            </w:r>
          </w:p>
        </w:tc>
        <w:tc>
          <w:tcPr>
            <w:tcW w:w="0" w:type="auto"/>
            <w:vAlign w:val="center"/>
            <w:hideMark/>
          </w:tcPr>
          <w:p w14:paraId="60F337F6" w14:textId="77777777" w:rsidR="007A6E18" w:rsidRPr="007A6E18" w:rsidRDefault="007A6E18" w:rsidP="007A6E18">
            <w:pPr>
              <w:rPr>
                <w:b/>
                <w:bCs/>
              </w:rPr>
            </w:pPr>
            <w:r w:rsidRPr="007A6E18">
              <w:rPr>
                <w:b/>
                <w:bCs/>
              </w:rPr>
              <w:t>FY2024</w:t>
            </w:r>
          </w:p>
        </w:tc>
        <w:tc>
          <w:tcPr>
            <w:tcW w:w="0" w:type="auto"/>
            <w:vAlign w:val="center"/>
            <w:hideMark/>
          </w:tcPr>
          <w:p w14:paraId="6DB6C250" w14:textId="77777777" w:rsidR="007A6E18" w:rsidRPr="007A6E18" w:rsidRDefault="007A6E18" w:rsidP="007A6E18">
            <w:pPr>
              <w:rPr>
                <w:b/>
                <w:bCs/>
              </w:rPr>
            </w:pPr>
            <w:r w:rsidRPr="007A6E18">
              <w:rPr>
                <w:b/>
                <w:bCs/>
              </w:rPr>
              <w:t>FY2023</w:t>
            </w:r>
          </w:p>
        </w:tc>
        <w:tc>
          <w:tcPr>
            <w:tcW w:w="0" w:type="auto"/>
            <w:vAlign w:val="center"/>
            <w:hideMark/>
          </w:tcPr>
          <w:p w14:paraId="17497120" w14:textId="77777777" w:rsidR="007A6E18" w:rsidRPr="007A6E18" w:rsidRDefault="007A6E18" w:rsidP="007A6E18">
            <w:pPr>
              <w:rPr>
                <w:b/>
                <w:bCs/>
              </w:rPr>
            </w:pPr>
            <w:r w:rsidRPr="007A6E18">
              <w:rPr>
                <w:b/>
                <w:bCs/>
              </w:rPr>
              <w:t>FY2022</w:t>
            </w:r>
          </w:p>
        </w:tc>
      </w:tr>
      <w:tr w:rsidR="007A6E18" w:rsidRPr="007A6E18" w14:paraId="64D459F2" w14:textId="77777777">
        <w:trPr>
          <w:tblCellSpacing w:w="15" w:type="dxa"/>
        </w:trPr>
        <w:tc>
          <w:tcPr>
            <w:tcW w:w="0" w:type="auto"/>
            <w:vAlign w:val="center"/>
            <w:hideMark/>
          </w:tcPr>
          <w:p w14:paraId="58C15A19" w14:textId="77777777" w:rsidR="007A6E18" w:rsidRPr="007A6E18" w:rsidRDefault="007A6E18" w:rsidP="007A6E18">
            <w:r w:rsidRPr="007A6E18">
              <w:t>Cash &amp; Equivalents</w:t>
            </w:r>
          </w:p>
        </w:tc>
        <w:tc>
          <w:tcPr>
            <w:tcW w:w="0" w:type="auto"/>
            <w:vAlign w:val="center"/>
            <w:hideMark/>
          </w:tcPr>
          <w:p w14:paraId="0CAA6932" w14:textId="77777777" w:rsidR="007A6E18" w:rsidRPr="007A6E18" w:rsidRDefault="007A6E18" w:rsidP="007A6E18">
            <w:r w:rsidRPr="007A6E18">
              <w:t>$4.76B</w:t>
            </w:r>
          </w:p>
        </w:tc>
        <w:tc>
          <w:tcPr>
            <w:tcW w:w="0" w:type="auto"/>
            <w:vAlign w:val="center"/>
            <w:hideMark/>
          </w:tcPr>
          <w:p w14:paraId="00925D2A" w14:textId="77777777" w:rsidR="007A6E18" w:rsidRPr="007A6E18" w:rsidRDefault="007A6E18" w:rsidP="007A6E18">
            <w:r w:rsidRPr="007A6E18">
              <w:t>$922M</w:t>
            </w:r>
          </w:p>
        </w:tc>
        <w:tc>
          <w:tcPr>
            <w:tcW w:w="0" w:type="auto"/>
            <w:vAlign w:val="center"/>
            <w:hideMark/>
          </w:tcPr>
          <w:p w14:paraId="0A0CB801" w14:textId="77777777" w:rsidR="007A6E18" w:rsidRPr="007A6E18" w:rsidRDefault="007A6E18" w:rsidP="007A6E18">
            <w:r w:rsidRPr="007A6E18">
              <w:t>$1.14B</w:t>
            </w:r>
          </w:p>
        </w:tc>
        <w:tc>
          <w:tcPr>
            <w:tcW w:w="0" w:type="auto"/>
            <w:vAlign w:val="center"/>
            <w:hideMark/>
          </w:tcPr>
          <w:p w14:paraId="24FBA421" w14:textId="77777777" w:rsidR="007A6E18" w:rsidRPr="007A6E18" w:rsidRDefault="007A6E18" w:rsidP="007A6E18">
            <w:r w:rsidRPr="007A6E18">
              <w:t>$1.27B</w:t>
            </w:r>
          </w:p>
        </w:tc>
      </w:tr>
      <w:tr w:rsidR="007A6E18" w:rsidRPr="007A6E18" w14:paraId="0A634C25" w14:textId="77777777">
        <w:trPr>
          <w:tblCellSpacing w:w="15" w:type="dxa"/>
        </w:trPr>
        <w:tc>
          <w:tcPr>
            <w:tcW w:w="0" w:type="auto"/>
            <w:vAlign w:val="center"/>
            <w:hideMark/>
          </w:tcPr>
          <w:p w14:paraId="418B73D7" w14:textId="77777777" w:rsidR="007A6E18" w:rsidRPr="007A6E18" w:rsidRDefault="007A6E18" w:rsidP="007A6E18">
            <w:r w:rsidRPr="007A6E18">
              <w:t>Total Debt</w:t>
            </w:r>
          </w:p>
        </w:tc>
        <w:tc>
          <w:tcPr>
            <w:tcW w:w="0" w:type="auto"/>
            <w:vAlign w:val="center"/>
            <w:hideMark/>
          </w:tcPr>
          <w:p w14:paraId="1DE7D5E0" w14:textId="77777777" w:rsidR="007A6E18" w:rsidRPr="007A6E18" w:rsidRDefault="007A6E18" w:rsidP="007A6E18">
            <w:r w:rsidRPr="007A6E18">
              <w:t>$411M</w:t>
            </w:r>
          </w:p>
        </w:tc>
        <w:tc>
          <w:tcPr>
            <w:tcW w:w="0" w:type="auto"/>
            <w:vAlign w:val="center"/>
            <w:hideMark/>
          </w:tcPr>
          <w:p w14:paraId="6204B2E3" w14:textId="77777777" w:rsidR="007A6E18" w:rsidRPr="007A6E18" w:rsidRDefault="007A6E18" w:rsidP="007A6E18">
            <w:r w:rsidRPr="007A6E18">
              <w:t>$603M</w:t>
            </w:r>
          </w:p>
        </w:tc>
        <w:tc>
          <w:tcPr>
            <w:tcW w:w="0" w:type="auto"/>
            <w:vAlign w:val="center"/>
            <w:hideMark/>
          </w:tcPr>
          <w:p w14:paraId="694F975D" w14:textId="77777777" w:rsidR="007A6E18" w:rsidRPr="007A6E18" w:rsidRDefault="007A6E18" w:rsidP="007A6E18">
            <w:r w:rsidRPr="007A6E18">
              <w:t>$617M</w:t>
            </w:r>
          </w:p>
        </w:tc>
        <w:tc>
          <w:tcPr>
            <w:tcW w:w="0" w:type="auto"/>
            <w:vAlign w:val="center"/>
            <w:hideMark/>
          </w:tcPr>
          <w:p w14:paraId="2D6EB004" w14:textId="77777777" w:rsidR="007A6E18" w:rsidRPr="007A6E18" w:rsidRDefault="007A6E18" w:rsidP="007A6E18">
            <w:r w:rsidRPr="007A6E18">
              <w:t>$649M</w:t>
            </w:r>
          </w:p>
        </w:tc>
      </w:tr>
      <w:tr w:rsidR="007A6E18" w:rsidRPr="007A6E18" w14:paraId="3A1FBAD8" w14:textId="77777777">
        <w:trPr>
          <w:tblCellSpacing w:w="15" w:type="dxa"/>
        </w:trPr>
        <w:tc>
          <w:tcPr>
            <w:tcW w:w="0" w:type="auto"/>
            <w:vAlign w:val="center"/>
            <w:hideMark/>
          </w:tcPr>
          <w:p w14:paraId="1E6CCDE2" w14:textId="77777777" w:rsidR="007A6E18" w:rsidRPr="007A6E18" w:rsidRDefault="007A6E18" w:rsidP="007A6E18">
            <w:r w:rsidRPr="007A6E18">
              <w:t>Net Cash Position</w:t>
            </w:r>
          </w:p>
        </w:tc>
        <w:tc>
          <w:tcPr>
            <w:tcW w:w="0" w:type="auto"/>
            <w:vAlign w:val="center"/>
            <w:hideMark/>
          </w:tcPr>
          <w:p w14:paraId="4F23118C" w14:textId="77777777" w:rsidR="007A6E18" w:rsidRPr="007A6E18" w:rsidRDefault="007A6E18" w:rsidP="007A6E18">
            <w:r w:rsidRPr="007A6E18">
              <w:t>$4.35B</w:t>
            </w:r>
          </w:p>
        </w:tc>
        <w:tc>
          <w:tcPr>
            <w:tcW w:w="0" w:type="auto"/>
            <w:vAlign w:val="center"/>
            <w:hideMark/>
          </w:tcPr>
          <w:p w14:paraId="0F64F56A" w14:textId="77777777" w:rsidR="007A6E18" w:rsidRPr="007A6E18" w:rsidRDefault="007A6E18" w:rsidP="007A6E18">
            <w:r w:rsidRPr="007A6E18">
              <w:t>$319M</w:t>
            </w:r>
          </w:p>
        </w:tc>
        <w:tc>
          <w:tcPr>
            <w:tcW w:w="0" w:type="auto"/>
            <w:vAlign w:val="center"/>
            <w:hideMark/>
          </w:tcPr>
          <w:p w14:paraId="2F2796E9" w14:textId="77777777" w:rsidR="007A6E18" w:rsidRPr="007A6E18" w:rsidRDefault="007A6E18" w:rsidP="007A6E18"/>
        </w:tc>
        <w:tc>
          <w:tcPr>
            <w:tcW w:w="0" w:type="auto"/>
            <w:vAlign w:val="center"/>
            <w:hideMark/>
          </w:tcPr>
          <w:p w14:paraId="1CD5335A" w14:textId="77777777" w:rsidR="007A6E18" w:rsidRPr="007A6E18" w:rsidRDefault="007A6E18" w:rsidP="007A6E18"/>
        </w:tc>
      </w:tr>
    </w:tbl>
    <w:p w14:paraId="4B5669E3" w14:textId="77777777" w:rsidR="007A6E18" w:rsidRDefault="007A6E18"/>
    <w:sectPr w:rsidR="007A6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B422B"/>
    <w:multiLevelType w:val="multilevel"/>
    <w:tmpl w:val="724A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F139A"/>
    <w:multiLevelType w:val="multilevel"/>
    <w:tmpl w:val="7F3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073182">
    <w:abstractNumId w:val="1"/>
  </w:num>
  <w:num w:numId="2" w16cid:durableId="65661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18"/>
    <w:rsid w:val="00757C90"/>
    <w:rsid w:val="007A6E18"/>
    <w:rsid w:val="00CE3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8D28"/>
  <w15:chartTrackingRefBased/>
  <w15:docId w15:val="{362F2B39-76E8-4C42-9647-354CDE98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E18"/>
    <w:rPr>
      <w:rFonts w:eastAsiaTheme="majorEastAsia" w:cstheme="majorBidi"/>
      <w:color w:val="272727" w:themeColor="text1" w:themeTint="D8"/>
    </w:rPr>
  </w:style>
  <w:style w:type="paragraph" w:styleId="Title">
    <w:name w:val="Title"/>
    <w:basedOn w:val="Normal"/>
    <w:next w:val="Normal"/>
    <w:link w:val="TitleChar"/>
    <w:uiPriority w:val="10"/>
    <w:qFormat/>
    <w:rsid w:val="007A6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E18"/>
    <w:pPr>
      <w:spacing w:before="160"/>
      <w:jc w:val="center"/>
    </w:pPr>
    <w:rPr>
      <w:i/>
      <w:iCs/>
      <w:color w:val="404040" w:themeColor="text1" w:themeTint="BF"/>
    </w:rPr>
  </w:style>
  <w:style w:type="character" w:customStyle="1" w:styleId="QuoteChar">
    <w:name w:val="Quote Char"/>
    <w:basedOn w:val="DefaultParagraphFont"/>
    <w:link w:val="Quote"/>
    <w:uiPriority w:val="29"/>
    <w:rsid w:val="007A6E18"/>
    <w:rPr>
      <w:i/>
      <w:iCs/>
      <w:color w:val="404040" w:themeColor="text1" w:themeTint="BF"/>
    </w:rPr>
  </w:style>
  <w:style w:type="paragraph" w:styleId="ListParagraph">
    <w:name w:val="List Paragraph"/>
    <w:basedOn w:val="Normal"/>
    <w:uiPriority w:val="34"/>
    <w:qFormat/>
    <w:rsid w:val="007A6E18"/>
    <w:pPr>
      <w:ind w:left="720"/>
      <w:contextualSpacing/>
    </w:pPr>
  </w:style>
  <w:style w:type="character" w:styleId="IntenseEmphasis">
    <w:name w:val="Intense Emphasis"/>
    <w:basedOn w:val="DefaultParagraphFont"/>
    <w:uiPriority w:val="21"/>
    <w:qFormat/>
    <w:rsid w:val="007A6E18"/>
    <w:rPr>
      <w:i/>
      <w:iCs/>
      <w:color w:val="0F4761" w:themeColor="accent1" w:themeShade="BF"/>
    </w:rPr>
  </w:style>
  <w:style w:type="paragraph" w:styleId="IntenseQuote">
    <w:name w:val="Intense Quote"/>
    <w:basedOn w:val="Normal"/>
    <w:next w:val="Normal"/>
    <w:link w:val="IntenseQuoteChar"/>
    <w:uiPriority w:val="30"/>
    <w:qFormat/>
    <w:rsid w:val="007A6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E18"/>
    <w:rPr>
      <w:i/>
      <w:iCs/>
      <w:color w:val="0F4761" w:themeColor="accent1" w:themeShade="BF"/>
    </w:rPr>
  </w:style>
  <w:style w:type="character" w:styleId="IntenseReference">
    <w:name w:val="Intense Reference"/>
    <w:basedOn w:val="DefaultParagraphFont"/>
    <w:uiPriority w:val="32"/>
    <w:qFormat/>
    <w:rsid w:val="007A6E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Garcia</dc:creator>
  <cp:keywords/>
  <dc:description/>
  <cp:lastModifiedBy>Daniel Garcia</cp:lastModifiedBy>
  <cp:revision>2</cp:revision>
  <dcterms:created xsi:type="dcterms:W3CDTF">2025-08-22T01:49:00Z</dcterms:created>
  <dcterms:modified xsi:type="dcterms:W3CDTF">2025-08-22T01:49:00Z</dcterms:modified>
</cp:coreProperties>
</file>