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92DB9C" w14:textId="77777777" w:rsidR="00657913" w:rsidRPr="00657913" w:rsidRDefault="00657913" w:rsidP="00657913">
      <w:pPr>
        <w:rPr>
          <w:b/>
          <w:bCs/>
        </w:rPr>
      </w:pPr>
      <w:r w:rsidRPr="00657913">
        <w:rPr>
          <w:b/>
          <w:bCs/>
        </w:rPr>
        <w:t>GameStop Corp. (GME) - Comprehensive Financial Analysis Report</w:t>
      </w:r>
    </w:p>
    <w:p w14:paraId="21FFCB50" w14:textId="77777777" w:rsidR="00657913" w:rsidRPr="00657913" w:rsidRDefault="00657913" w:rsidP="00657913">
      <w:r w:rsidRPr="00657913">
        <w:rPr>
          <w:b/>
          <w:bCs/>
        </w:rPr>
        <w:t>Date:</w:t>
      </w:r>
      <w:r w:rsidRPr="00657913">
        <w:t xml:space="preserve"> August 22, 2025</w:t>
      </w:r>
      <w:r w:rsidRPr="00657913">
        <w:br/>
      </w:r>
      <w:r w:rsidRPr="00657913">
        <w:rPr>
          <w:b/>
          <w:bCs/>
        </w:rPr>
        <w:t>Prepared For:</w:t>
      </w:r>
      <w:r w:rsidRPr="00657913">
        <w:t xml:space="preserve"> Raymond James Financial Advisory</w:t>
      </w:r>
      <w:r w:rsidRPr="00657913">
        <w:br/>
      </w:r>
      <w:r w:rsidRPr="00657913">
        <w:rPr>
          <w:b/>
          <w:bCs/>
        </w:rPr>
        <w:t>Ticker:</w:t>
      </w:r>
      <w:r w:rsidRPr="00657913">
        <w:t xml:space="preserve"> GME (NYSE)</w:t>
      </w:r>
      <w:r w:rsidRPr="00657913">
        <w:br/>
      </w:r>
      <w:r w:rsidRPr="00657913">
        <w:rPr>
          <w:b/>
          <w:bCs/>
        </w:rPr>
        <w:t>Coverage Period:</w:t>
      </w:r>
      <w:r w:rsidRPr="00657913">
        <w:t xml:space="preserve"> August 1, 2024 - July 31, 2025</w:t>
      </w:r>
    </w:p>
    <w:p w14:paraId="6D277528" w14:textId="77777777" w:rsidR="00657913" w:rsidRPr="00657913" w:rsidRDefault="00657913" w:rsidP="00657913">
      <w:r w:rsidRPr="00657913">
        <w:pict w14:anchorId="1EF20081">
          <v:rect id="_x0000_i1091" style="width:0;height:1.5pt" o:hralign="center" o:hrstd="t" o:hr="t" fillcolor="#a0a0a0" stroked="f"/>
        </w:pict>
      </w:r>
    </w:p>
    <w:p w14:paraId="1DC6691C" w14:textId="77777777" w:rsidR="00657913" w:rsidRPr="00657913" w:rsidRDefault="00657913" w:rsidP="00657913">
      <w:pPr>
        <w:rPr>
          <w:b/>
          <w:bCs/>
        </w:rPr>
      </w:pPr>
      <w:r w:rsidRPr="00657913">
        <w:rPr>
          <w:b/>
          <w:bCs/>
        </w:rPr>
        <w:t>Executive Summary</w:t>
      </w:r>
    </w:p>
    <w:p w14:paraId="5FBB0819" w14:textId="77777777" w:rsidR="00657913" w:rsidRPr="00657913" w:rsidRDefault="00657913" w:rsidP="00657913">
      <w:r w:rsidRPr="00657913">
        <w:t>GameStop Corp. presents a compelling case of fundamental improvement amid challenging market conditions. The company has achieved a remarkable turnaround from significant losses to profitability, while simultaneously building an exceptionally strong cash position. However, recent stock performance has been weak, creating a potential divergence between fundamental strength and market sentiment.</w:t>
      </w:r>
    </w:p>
    <w:p w14:paraId="25329860" w14:textId="77777777" w:rsidR="00657913" w:rsidRPr="00657913" w:rsidRDefault="00657913" w:rsidP="00657913">
      <w:r w:rsidRPr="00657913">
        <w:pict w14:anchorId="450A2915">
          <v:rect id="_x0000_i1092" style="width:0;height:1.5pt" o:hralign="center" o:hrstd="t" o:hr="t" fillcolor="#a0a0a0" stroked="f"/>
        </w:pict>
      </w:r>
    </w:p>
    <w:p w14:paraId="210C66EE" w14:textId="77777777" w:rsidR="00657913" w:rsidRPr="00657913" w:rsidRDefault="00657913" w:rsidP="00657913">
      <w:pPr>
        <w:rPr>
          <w:b/>
          <w:bCs/>
        </w:rPr>
      </w:pPr>
      <w:r w:rsidRPr="00657913">
        <w:rPr>
          <w:b/>
          <w:bCs/>
        </w:rPr>
        <w:t>Company Overview</w:t>
      </w:r>
    </w:p>
    <w:p w14:paraId="73D579F2" w14:textId="77777777" w:rsidR="00657913" w:rsidRPr="00657913" w:rsidRDefault="00657913" w:rsidP="00657913">
      <w:pPr>
        <w:numPr>
          <w:ilvl w:val="0"/>
          <w:numId w:val="1"/>
        </w:numPr>
      </w:pPr>
      <w:r w:rsidRPr="00657913">
        <w:rPr>
          <w:b/>
          <w:bCs/>
        </w:rPr>
        <w:t>Company:</w:t>
      </w:r>
      <w:r w:rsidRPr="00657913">
        <w:t xml:space="preserve"> GameStop Corp.</w:t>
      </w:r>
    </w:p>
    <w:p w14:paraId="5FB42FAC" w14:textId="77777777" w:rsidR="00657913" w:rsidRPr="00657913" w:rsidRDefault="00657913" w:rsidP="00657913">
      <w:pPr>
        <w:numPr>
          <w:ilvl w:val="0"/>
          <w:numId w:val="1"/>
        </w:numPr>
      </w:pPr>
      <w:r w:rsidRPr="00657913">
        <w:rPr>
          <w:b/>
          <w:bCs/>
        </w:rPr>
        <w:t>CEO:</w:t>
      </w:r>
      <w:r w:rsidRPr="00657913">
        <w:t xml:space="preserve"> Ryan Cohen (Interim Chief Executive Officer)</w:t>
      </w:r>
    </w:p>
    <w:p w14:paraId="1E95D5F1" w14:textId="77777777" w:rsidR="00657913" w:rsidRPr="00657913" w:rsidRDefault="00657913" w:rsidP="00657913">
      <w:pPr>
        <w:numPr>
          <w:ilvl w:val="0"/>
          <w:numId w:val="1"/>
        </w:numPr>
      </w:pPr>
      <w:r w:rsidRPr="00657913">
        <w:rPr>
          <w:b/>
          <w:bCs/>
        </w:rPr>
        <w:t>SIC Code:</w:t>
      </w:r>
      <w:r w:rsidRPr="00657913">
        <w:t xml:space="preserve"> 5734 (Computer and Computer Software Stores)</w:t>
      </w:r>
    </w:p>
    <w:p w14:paraId="753D4D13" w14:textId="77777777" w:rsidR="00657913" w:rsidRPr="00657913" w:rsidRDefault="00657913" w:rsidP="00657913">
      <w:pPr>
        <w:numPr>
          <w:ilvl w:val="0"/>
          <w:numId w:val="1"/>
        </w:numPr>
      </w:pPr>
      <w:r w:rsidRPr="00657913">
        <w:rPr>
          <w:b/>
          <w:bCs/>
        </w:rPr>
        <w:t>CIK:</w:t>
      </w:r>
      <w:r w:rsidRPr="00657913">
        <w:t xml:space="preserve"> 01326380</w:t>
      </w:r>
    </w:p>
    <w:p w14:paraId="4BC2B987" w14:textId="77777777" w:rsidR="00657913" w:rsidRPr="00657913" w:rsidRDefault="00657913" w:rsidP="00657913">
      <w:pPr>
        <w:numPr>
          <w:ilvl w:val="0"/>
          <w:numId w:val="1"/>
        </w:numPr>
      </w:pPr>
      <w:r w:rsidRPr="00657913">
        <w:rPr>
          <w:b/>
          <w:bCs/>
        </w:rPr>
        <w:t>Exchange:</w:t>
      </w:r>
      <w:r w:rsidRPr="00657913">
        <w:t xml:space="preserve"> NYSE</w:t>
      </w:r>
    </w:p>
    <w:p w14:paraId="085451FA" w14:textId="77777777" w:rsidR="00657913" w:rsidRPr="00657913" w:rsidRDefault="00657913" w:rsidP="00657913">
      <w:r w:rsidRPr="00657913">
        <w:pict w14:anchorId="31D6EAC3">
          <v:rect id="_x0000_i1093" style="width:0;height:1.5pt" o:hralign="center" o:hrstd="t" o:hr="t" fillcolor="#a0a0a0" stroked="f"/>
        </w:pict>
      </w:r>
    </w:p>
    <w:p w14:paraId="25D9A6CF" w14:textId="77777777" w:rsidR="00657913" w:rsidRPr="00657913" w:rsidRDefault="00657913" w:rsidP="00657913">
      <w:pPr>
        <w:rPr>
          <w:b/>
          <w:bCs/>
        </w:rPr>
      </w:pPr>
      <w:r w:rsidRPr="00657913">
        <w:rPr>
          <w:b/>
          <w:bCs/>
        </w:rPr>
        <w:t>Financial Performance Analysis</w:t>
      </w:r>
    </w:p>
    <w:p w14:paraId="29E11583" w14:textId="77777777" w:rsidR="00657913" w:rsidRPr="00657913" w:rsidRDefault="00657913" w:rsidP="00657913">
      <w:pPr>
        <w:rPr>
          <w:b/>
          <w:bCs/>
        </w:rPr>
      </w:pPr>
      <w:r w:rsidRPr="00657913">
        <w:rPr>
          <w:b/>
          <w:bCs/>
        </w:rPr>
        <w:t>Revenue Trends (USD)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9"/>
        <w:gridCol w:w="1007"/>
        <w:gridCol w:w="1360"/>
      </w:tblGrid>
      <w:tr w:rsidR="00657913" w:rsidRPr="00657913" w14:paraId="5F40F02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0312EA" w14:textId="77777777" w:rsidR="00657913" w:rsidRPr="00657913" w:rsidRDefault="00657913" w:rsidP="00657913">
            <w:pPr>
              <w:rPr>
                <w:b/>
                <w:bCs/>
              </w:rPr>
            </w:pPr>
            <w:r w:rsidRPr="00657913">
              <w:rPr>
                <w:b/>
                <w:bCs/>
              </w:rPr>
              <w:t>Fiscal Year</w:t>
            </w:r>
          </w:p>
        </w:tc>
        <w:tc>
          <w:tcPr>
            <w:tcW w:w="0" w:type="auto"/>
            <w:vAlign w:val="center"/>
            <w:hideMark/>
          </w:tcPr>
          <w:p w14:paraId="7FF96A0E" w14:textId="77777777" w:rsidR="00657913" w:rsidRPr="00657913" w:rsidRDefault="00657913" w:rsidP="00657913">
            <w:pPr>
              <w:rPr>
                <w:b/>
                <w:bCs/>
              </w:rPr>
            </w:pPr>
            <w:r w:rsidRPr="00657913">
              <w:rPr>
                <w:b/>
                <w:bCs/>
              </w:rPr>
              <w:t>Revenue</w:t>
            </w:r>
          </w:p>
        </w:tc>
        <w:tc>
          <w:tcPr>
            <w:tcW w:w="0" w:type="auto"/>
            <w:vAlign w:val="center"/>
            <w:hideMark/>
          </w:tcPr>
          <w:p w14:paraId="1E668D21" w14:textId="77777777" w:rsidR="00657913" w:rsidRPr="00657913" w:rsidRDefault="00657913" w:rsidP="00657913">
            <w:pPr>
              <w:rPr>
                <w:b/>
                <w:bCs/>
              </w:rPr>
            </w:pPr>
            <w:r w:rsidRPr="00657913">
              <w:rPr>
                <w:b/>
                <w:bCs/>
              </w:rPr>
              <w:t>YoY Change</w:t>
            </w:r>
          </w:p>
        </w:tc>
      </w:tr>
      <w:tr w:rsidR="00657913" w:rsidRPr="00657913" w14:paraId="4C7259E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49AE61" w14:textId="77777777" w:rsidR="00657913" w:rsidRPr="00657913" w:rsidRDefault="00657913" w:rsidP="00657913">
            <w:r w:rsidRPr="00657913">
              <w:t>FY 2025</w:t>
            </w:r>
          </w:p>
        </w:tc>
        <w:tc>
          <w:tcPr>
            <w:tcW w:w="0" w:type="auto"/>
            <w:vAlign w:val="center"/>
            <w:hideMark/>
          </w:tcPr>
          <w:p w14:paraId="7AB3B180" w14:textId="77777777" w:rsidR="00657913" w:rsidRPr="00657913" w:rsidRDefault="00657913" w:rsidP="00657913">
            <w:r w:rsidRPr="00657913">
              <w:t>$3.82B</w:t>
            </w:r>
          </w:p>
        </w:tc>
        <w:tc>
          <w:tcPr>
            <w:tcW w:w="0" w:type="auto"/>
            <w:vAlign w:val="center"/>
            <w:hideMark/>
          </w:tcPr>
          <w:p w14:paraId="5AAD7BC7" w14:textId="77777777" w:rsidR="00657913" w:rsidRPr="00657913" w:rsidRDefault="00657913" w:rsidP="00657913">
            <w:r w:rsidRPr="00657913">
              <w:t>-27.5%</w:t>
            </w:r>
          </w:p>
        </w:tc>
      </w:tr>
      <w:tr w:rsidR="00657913" w:rsidRPr="00657913" w14:paraId="478DED8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F0FB17" w14:textId="77777777" w:rsidR="00657913" w:rsidRPr="00657913" w:rsidRDefault="00657913" w:rsidP="00657913">
            <w:r w:rsidRPr="00657913">
              <w:t>FY 2024</w:t>
            </w:r>
          </w:p>
        </w:tc>
        <w:tc>
          <w:tcPr>
            <w:tcW w:w="0" w:type="auto"/>
            <w:vAlign w:val="center"/>
            <w:hideMark/>
          </w:tcPr>
          <w:p w14:paraId="0CDD9652" w14:textId="77777777" w:rsidR="00657913" w:rsidRPr="00657913" w:rsidRDefault="00657913" w:rsidP="00657913">
            <w:r w:rsidRPr="00657913">
              <w:t>$5.27B</w:t>
            </w:r>
          </w:p>
        </w:tc>
        <w:tc>
          <w:tcPr>
            <w:tcW w:w="0" w:type="auto"/>
            <w:vAlign w:val="center"/>
            <w:hideMark/>
          </w:tcPr>
          <w:p w14:paraId="2BDC9006" w14:textId="77777777" w:rsidR="00657913" w:rsidRPr="00657913" w:rsidRDefault="00657913" w:rsidP="00657913">
            <w:r w:rsidRPr="00657913">
              <w:t>-11.0%</w:t>
            </w:r>
          </w:p>
        </w:tc>
      </w:tr>
      <w:tr w:rsidR="00657913" w:rsidRPr="00657913" w14:paraId="45DE680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DF1CFB" w14:textId="77777777" w:rsidR="00657913" w:rsidRPr="00657913" w:rsidRDefault="00657913" w:rsidP="00657913">
            <w:r w:rsidRPr="00657913">
              <w:t>FY 2023</w:t>
            </w:r>
          </w:p>
        </w:tc>
        <w:tc>
          <w:tcPr>
            <w:tcW w:w="0" w:type="auto"/>
            <w:vAlign w:val="center"/>
            <w:hideMark/>
          </w:tcPr>
          <w:p w14:paraId="4C678C18" w14:textId="77777777" w:rsidR="00657913" w:rsidRPr="00657913" w:rsidRDefault="00657913" w:rsidP="00657913">
            <w:r w:rsidRPr="00657913">
              <w:t>$5.93B</w:t>
            </w:r>
          </w:p>
        </w:tc>
        <w:tc>
          <w:tcPr>
            <w:tcW w:w="0" w:type="auto"/>
            <w:vAlign w:val="center"/>
            <w:hideMark/>
          </w:tcPr>
          <w:p w14:paraId="3B76566D" w14:textId="77777777" w:rsidR="00657913" w:rsidRPr="00657913" w:rsidRDefault="00657913" w:rsidP="00657913">
            <w:r w:rsidRPr="00657913">
              <w:t>-1.4%</w:t>
            </w:r>
          </w:p>
        </w:tc>
      </w:tr>
      <w:tr w:rsidR="00657913" w:rsidRPr="00657913" w14:paraId="31B732F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4A3CAD" w14:textId="77777777" w:rsidR="00657913" w:rsidRPr="00657913" w:rsidRDefault="00657913" w:rsidP="00657913">
            <w:r w:rsidRPr="00657913">
              <w:t>FY 2022</w:t>
            </w:r>
          </w:p>
        </w:tc>
        <w:tc>
          <w:tcPr>
            <w:tcW w:w="0" w:type="auto"/>
            <w:vAlign w:val="center"/>
            <w:hideMark/>
          </w:tcPr>
          <w:p w14:paraId="3B0661AF" w14:textId="77777777" w:rsidR="00657913" w:rsidRPr="00657913" w:rsidRDefault="00657913" w:rsidP="00657913">
            <w:r w:rsidRPr="00657913">
              <w:t>$6.01B</w:t>
            </w:r>
          </w:p>
        </w:tc>
        <w:tc>
          <w:tcPr>
            <w:tcW w:w="0" w:type="auto"/>
            <w:vAlign w:val="center"/>
            <w:hideMark/>
          </w:tcPr>
          <w:p w14:paraId="7EDE5030" w14:textId="77777777" w:rsidR="00657913" w:rsidRPr="00657913" w:rsidRDefault="00657913" w:rsidP="00657913">
            <w:r w:rsidRPr="00657913">
              <w:t>-</w:t>
            </w:r>
          </w:p>
        </w:tc>
      </w:tr>
    </w:tbl>
    <w:p w14:paraId="5C2A9BAC" w14:textId="77777777" w:rsidR="00657913" w:rsidRPr="00657913" w:rsidRDefault="00657913" w:rsidP="00657913">
      <w:r w:rsidRPr="00657913">
        <w:rPr>
          <w:b/>
          <w:bCs/>
        </w:rPr>
        <w:lastRenderedPageBreak/>
        <w:t>Observation:</w:t>
      </w:r>
      <w:r w:rsidRPr="00657913">
        <w:t xml:space="preserve"> Steady revenue decline over four years, with significant contraction in FY2025.</w:t>
      </w:r>
    </w:p>
    <w:p w14:paraId="69A2F7F0" w14:textId="77777777" w:rsidR="00657913" w:rsidRPr="00657913" w:rsidRDefault="00657913" w:rsidP="00657913">
      <w:pPr>
        <w:rPr>
          <w:b/>
          <w:bCs/>
        </w:rPr>
      </w:pPr>
      <w:r w:rsidRPr="00657913">
        <w:rPr>
          <w:b/>
          <w:bCs/>
        </w:rPr>
        <w:t>Profitability Metrics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7"/>
        <w:gridCol w:w="960"/>
        <w:gridCol w:w="913"/>
        <w:gridCol w:w="2556"/>
      </w:tblGrid>
      <w:tr w:rsidR="00657913" w:rsidRPr="00657913" w14:paraId="144E871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0EA5F4" w14:textId="77777777" w:rsidR="00657913" w:rsidRPr="00657913" w:rsidRDefault="00657913" w:rsidP="00657913">
            <w:pPr>
              <w:rPr>
                <w:b/>
                <w:bCs/>
              </w:rPr>
            </w:pPr>
            <w:r w:rsidRPr="00657913">
              <w:rPr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49014D78" w14:textId="77777777" w:rsidR="00657913" w:rsidRPr="00657913" w:rsidRDefault="00657913" w:rsidP="00657913">
            <w:pPr>
              <w:rPr>
                <w:b/>
                <w:bCs/>
              </w:rPr>
            </w:pPr>
            <w:r w:rsidRPr="00657913">
              <w:rPr>
                <w:b/>
                <w:bCs/>
              </w:rPr>
              <w:t>FY 2025</w:t>
            </w:r>
          </w:p>
        </w:tc>
        <w:tc>
          <w:tcPr>
            <w:tcW w:w="0" w:type="auto"/>
            <w:vAlign w:val="center"/>
            <w:hideMark/>
          </w:tcPr>
          <w:p w14:paraId="5205C78A" w14:textId="77777777" w:rsidR="00657913" w:rsidRPr="00657913" w:rsidRDefault="00657913" w:rsidP="00657913">
            <w:pPr>
              <w:rPr>
                <w:b/>
                <w:bCs/>
              </w:rPr>
            </w:pPr>
            <w:r w:rsidRPr="00657913">
              <w:rPr>
                <w:b/>
                <w:bCs/>
              </w:rPr>
              <w:t>FY 2024</w:t>
            </w:r>
          </w:p>
        </w:tc>
        <w:tc>
          <w:tcPr>
            <w:tcW w:w="0" w:type="auto"/>
            <w:vAlign w:val="center"/>
            <w:hideMark/>
          </w:tcPr>
          <w:p w14:paraId="42C4D5E5" w14:textId="77777777" w:rsidR="00657913" w:rsidRPr="00657913" w:rsidRDefault="00657913" w:rsidP="00657913">
            <w:pPr>
              <w:rPr>
                <w:b/>
                <w:bCs/>
              </w:rPr>
            </w:pPr>
            <w:r w:rsidRPr="00657913">
              <w:rPr>
                <w:b/>
                <w:bCs/>
              </w:rPr>
              <w:t>Trend</w:t>
            </w:r>
          </w:p>
        </w:tc>
      </w:tr>
      <w:tr w:rsidR="00657913" w:rsidRPr="00657913" w14:paraId="6401F85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A1291E" w14:textId="77777777" w:rsidR="00657913" w:rsidRPr="00657913" w:rsidRDefault="00657913" w:rsidP="00657913">
            <w:r w:rsidRPr="00657913">
              <w:t>Operating Income</w:t>
            </w:r>
          </w:p>
        </w:tc>
        <w:tc>
          <w:tcPr>
            <w:tcW w:w="0" w:type="auto"/>
            <w:vAlign w:val="center"/>
            <w:hideMark/>
          </w:tcPr>
          <w:p w14:paraId="78B31A5E" w14:textId="77777777" w:rsidR="00657913" w:rsidRPr="00657913" w:rsidRDefault="00657913" w:rsidP="00657913">
            <w:r w:rsidRPr="00657913">
              <w:t>-$16.5M</w:t>
            </w:r>
          </w:p>
        </w:tc>
        <w:tc>
          <w:tcPr>
            <w:tcW w:w="0" w:type="auto"/>
            <w:vAlign w:val="center"/>
            <w:hideMark/>
          </w:tcPr>
          <w:p w14:paraId="0A078A61" w14:textId="77777777" w:rsidR="00657913" w:rsidRPr="00657913" w:rsidRDefault="00657913" w:rsidP="00657913">
            <w:r w:rsidRPr="00657913">
              <w:t>-$29.7M</w:t>
            </w:r>
          </w:p>
        </w:tc>
        <w:tc>
          <w:tcPr>
            <w:tcW w:w="0" w:type="auto"/>
            <w:vAlign w:val="center"/>
            <w:hideMark/>
          </w:tcPr>
          <w:p w14:paraId="5E545306" w14:textId="77777777" w:rsidR="00657913" w:rsidRPr="00657913" w:rsidRDefault="00657913" w:rsidP="00657913">
            <w:r w:rsidRPr="00657913">
              <w:rPr>
                <w:rFonts w:ascii="Segoe UI Emoji" w:hAnsi="Segoe UI Emoji" w:cs="Segoe UI Emoji"/>
              </w:rPr>
              <w:t>✅</w:t>
            </w:r>
            <w:r w:rsidRPr="00657913">
              <w:t xml:space="preserve"> Improving</w:t>
            </w:r>
          </w:p>
        </w:tc>
      </w:tr>
      <w:tr w:rsidR="00657913" w:rsidRPr="00657913" w14:paraId="7772E00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A07E9D" w14:textId="77777777" w:rsidR="00657913" w:rsidRPr="00657913" w:rsidRDefault="00657913" w:rsidP="00657913">
            <w:r w:rsidRPr="00657913">
              <w:t>Net Income</w:t>
            </w:r>
          </w:p>
        </w:tc>
        <w:tc>
          <w:tcPr>
            <w:tcW w:w="0" w:type="auto"/>
            <w:vAlign w:val="center"/>
            <w:hideMark/>
          </w:tcPr>
          <w:p w14:paraId="3A262D8B" w14:textId="77777777" w:rsidR="00657913" w:rsidRPr="00657913" w:rsidRDefault="00657913" w:rsidP="00657913">
            <w:r w:rsidRPr="00657913">
              <w:t>$131.3M</w:t>
            </w:r>
          </w:p>
        </w:tc>
        <w:tc>
          <w:tcPr>
            <w:tcW w:w="0" w:type="auto"/>
            <w:vAlign w:val="center"/>
            <w:hideMark/>
          </w:tcPr>
          <w:p w14:paraId="65AE0589" w14:textId="77777777" w:rsidR="00657913" w:rsidRPr="00657913" w:rsidRDefault="00657913" w:rsidP="00657913">
            <w:r w:rsidRPr="00657913">
              <w:t>$6.7M</w:t>
            </w:r>
          </w:p>
        </w:tc>
        <w:tc>
          <w:tcPr>
            <w:tcW w:w="0" w:type="auto"/>
            <w:vAlign w:val="center"/>
            <w:hideMark/>
          </w:tcPr>
          <w:p w14:paraId="60174304" w14:textId="77777777" w:rsidR="00657913" w:rsidRPr="00657913" w:rsidRDefault="00657913" w:rsidP="00657913">
            <w:r w:rsidRPr="00657913">
              <w:rPr>
                <w:rFonts w:ascii="Segoe UI Emoji" w:hAnsi="Segoe UI Emoji" w:cs="Segoe UI Emoji"/>
              </w:rPr>
              <w:t>✅</w:t>
            </w:r>
            <w:r w:rsidRPr="00657913">
              <w:t xml:space="preserve"> Strong Improvement</w:t>
            </w:r>
          </w:p>
        </w:tc>
      </w:tr>
      <w:tr w:rsidR="00657913" w:rsidRPr="00657913" w14:paraId="4D021B4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090B6B" w14:textId="77777777" w:rsidR="00657913" w:rsidRPr="00657913" w:rsidRDefault="00657913" w:rsidP="00657913">
            <w:r w:rsidRPr="00657913">
              <w:t>Operating Margin</w:t>
            </w:r>
          </w:p>
        </w:tc>
        <w:tc>
          <w:tcPr>
            <w:tcW w:w="0" w:type="auto"/>
            <w:vAlign w:val="center"/>
            <w:hideMark/>
          </w:tcPr>
          <w:p w14:paraId="2F07B50E" w14:textId="77777777" w:rsidR="00657913" w:rsidRPr="00657913" w:rsidRDefault="00657913" w:rsidP="00657913">
            <w:r w:rsidRPr="00657913">
              <w:t>-0.4%</w:t>
            </w:r>
          </w:p>
        </w:tc>
        <w:tc>
          <w:tcPr>
            <w:tcW w:w="0" w:type="auto"/>
            <w:vAlign w:val="center"/>
            <w:hideMark/>
          </w:tcPr>
          <w:p w14:paraId="55B9A1DE" w14:textId="77777777" w:rsidR="00657913" w:rsidRPr="00657913" w:rsidRDefault="00657913" w:rsidP="00657913">
            <w:r w:rsidRPr="00657913">
              <w:t>-0.6%</w:t>
            </w:r>
          </w:p>
        </w:tc>
        <w:tc>
          <w:tcPr>
            <w:tcW w:w="0" w:type="auto"/>
            <w:vAlign w:val="center"/>
            <w:hideMark/>
          </w:tcPr>
          <w:p w14:paraId="4D839BF0" w14:textId="77777777" w:rsidR="00657913" w:rsidRPr="00657913" w:rsidRDefault="00657913" w:rsidP="00657913">
            <w:r w:rsidRPr="00657913">
              <w:rPr>
                <w:rFonts w:ascii="Segoe UI Emoji" w:hAnsi="Segoe UI Emoji" w:cs="Segoe UI Emoji"/>
              </w:rPr>
              <w:t>✅</w:t>
            </w:r>
            <w:r w:rsidRPr="00657913">
              <w:t xml:space="preserve"> Narrowing Losses</w:t>
            </w:r>
          </w:p>
        </w:tc>
      </w:tr>
    </w:tbl>
    <w:p w14:paraId="64DE665C" w14:textId="77777777" w:rsidR="00657913" w:rsidRPr="00657913" w:rsidRDefault="00657913" w:rsidP="00657913">
      <w:r w:rsidRPr="00657913">
        <w:rPr>
          <w:b/>
          <w:bCs/>
        </w:rPr>
        <w:t>Key Insight:</w:t>
      </w:r>
      <w:r w:rsidRPr="00657913">
        <w:t xml:space="preserve"> Despite revenue decline, the company has dramatically improved profitability, achieving substantial net income in FY2025.</w:t>
      </w:r>
    </w:p>
    <w:p w14:paraId="4309CE42" w14:textId="77777777" w:rsidR="00657913" w:rsidRPr="00657913" w:rsidRDefault="00657913" w:rsidP="00657913">
      <w:r w:rsidRPr="00657913">
        <w:pict w14:anchorId="1CF91668">
          <v:rect id="_x0000_i1094" style="width:0;height:1.5pt" o:hralign="center" o:hrstd="t" o:hr="t" fillcolor="#a0a0a0" stroked="f"/>
        </w:pict>
      </w:r>
    </w:p>
    <w:p w14:paraId="6A3A96F6" w14:textId="77777777" w:rsidR="00657913" w:rsidRPr="00657913" w:rsidRDefault="00657913" w:rsidP="00657913">
      <w:pPr>
        <w:rPr>
          <w:b/>
          <w:bCs/>
        </w:rPr>
      </w:pPr>
      <w:r w:rsidRPr="00657913">
        <w:rPr>
          <w:b/>
          <w:bCs/>
        </w:rPr>
        <w:t>Balance Sheet Strength</w:t>
      </w:r>
    </w:p>
    <w:p w14:paraId="64BE452A" w14:textId="77777777" w:rsidR="00657913" w:rsidRPr="00657913" w:rsidRDefault="00657913" w:rsidP="00657913">
      <w:pPr>
        <w:rPr>
          <w:b/>
          <w:bCs/>
        </w:rPr>
      </w:pPr>
      <w:r w:rsidRPr="00657913">
        <w:rPr>
          <w:b/>
          <w:bCs/>
        </w:rPr>
        <w:t>Financial Position (FY2025)</w:t>
      </w:r>
    </w:p>
    <w:p w14:paraId="72704860" w14:textId="77777777" w:rsidR="00657913" w:rsidRPr="00657913" w:rsidRDefault="00657913" w:rsidP="00657913">
      <w:pPr>
        <w:numPr>
          <w:ilvl w:val="0"/>
          <w:numId w:val="2"/>
        </w:numPr>
      </w:pPr>
      <w:r w:rsidRPr="00657913">
        <w:rPr>
          <w:b/>
          <w:bCs/>
        </w:rPr>
        <w:t>Cash &amp; Equivalents:</w:t>
      </w:r>
      <w:r w:rsidRPr="00657913">
        <w:t xml:space="preserve"> $4.76 </w:t>
      </w:r>
      <w:proofErr w:type="gramStart"/>
      <w:r w:rsidRPr="00657913">
        <w:t>Billion</w:t>
      </w:r>
      <w:proofErr w:type="gramEnd"/>
      <w:r w:rsidRPr="00657913">
        <w:t xml:space="preserve"> </w:t>
      </w:r>
      <w:r w:rsidRPr="00657913">
        <w:rPr>
          <w:rFonts w:ascii="Segoe UI Emoji" w:hAnsi="Segoe UI Emoji" w:cs="Segoe UI Emoji"/>
        </w:rPr>
        <w:t>🚀</w:t>
      </w:r>
    </w:p>
    <w:p w14:paraId="58958F32" w14:textId="77777777" w:rsidR="00657913" w:rsidRPr="00657913" w:rsidRDefault="00657913" w:rsidP="00657913">
      <w:pPr>
        <w:numPr>
          <w:ilvl w:val="0"/>
          <w:numId w:val="2"/>
        </w:numPr>
      </w:pPr>
      <w:r w:rsidRPr="00657913">
        <w:rPr>
          <w:b/>
          <w:bCs/>
        </w:rPr>
        <w:t>Total Debt:</w:t>
      </w:r>
      <w:r w:rsidRPr="00657913">
        <w:t xml:space="preserve"> $411 Million</w:t>
      </w:r>
    </w:p>
    <w:p w14:paraId="7CA368F9" w14:textId="77777777" w:rsidR="00657913" w:rsidRPr="00657913" w:rsidRDefault="00657913" w:rsidP="00657913">
      <w:pPr>
        <w:numPr>
          <w:ilvl w:val="0"/>
          <w:numId w:val="2"/>
        </w:numPr>
      </w:pPr>
      <w:r w:rsidRPr="00657913">
        <w:rPr>
          <w:b/>
          <w:bCs/>
        </w:rPr>
        <w:t>Net Cash Position:</w:t>
      </w:r>
      <w:r w:rsidRPr="00657913">
        <w:t xml:space="preserve"> $4.35 </w:t>
      </w:r>
      <w:proofErr w:type="gramStart"/>
      <w:r w:rsidRPr="00657913">
        <w:t>Billion</w:t>
      </w:r>
      <w:proofErr w:type="gramEnd"/>
      <w:r w:rsidRPr="00657913">
        <w:t xml:space="preserve"> </w:t>
      </w:r>
      <w:r w:rsidRPr="00657913">
        <w:rPr>
          <w:rFonts w:ascii="Segoe UI Emoji" w:hAnsi="Segoe UI Emoji" w:cs="Segoe UI Emoji"/>
        </w:rPr>
        <w:t>💪</w:t>
      </w:r>
    </w:p>
    <w:p w14:paraId="23FF034F" w14:textId="77777777" w:rsidR="00657913" w:rsidRPr="00657913" w:rsidRDefault="00657913" w:rsidP="00657913">
      <w:pPr>
        <w:numPr>
          <w:ilvl w:val="0"/>
          <w:numId w:val="2"/>
        </w:numPr>
      </w:pPr>
      <w:r w:rsidRPr="00657913">
        <w:rPr>
          <w:b/>
          <w:bCs/>
        </w:rPr>
        <w:t>Diluted Shares Outstanding:</w:t>
      </w:r>
      <w:r w:rsidRPr="00657913">
        <w:t xml:space="preserve"> 447.3 </w:t>
      </w:r>
      <w:proofErr w:type="gramStart"/>
      <w:r w:rsidRPr="00657913">
        <w:t>Million</w:t>
      </w:r>
      <w:proofErr w:type="gramEnd"/>
    </w:p>
    <w:p w14:paraId="092EA214" w14:textId="77777777" w:rsidR="00657913" w:rsidRPr="00657913" w:rsidRDefault="00657913" w:rsidP="00657913">
      <w:pPr>
        <w:rPr>
          <w:b/>
          <w:bCs/>
        </w:rPr>
      </w:pPr>
      <w:r w:rsidRPr="00657913">
        <w:rPr>
          <w:b/>
          <w:bCs/>
        </w:rPr>
        <w:t>Debt Reduction Progress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8"/>
        <w:gridCol w:w="1167"/>
        <w:gridCol w:w="1199"/>
      </w:tblGrid>
      <w:tr w:rsidR="00657913" w:rsidRPr="00657913" w14:paraId="25E917D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0C8B77" w14:textId="77777777" w:rsidR="00657913" w:rsidRPr="00657913" w:rsidRDefault="00657913" w:rsidP="00657913">
            <w:pPr>
              <w:rPr>
                <w:b/>
                <w:bCs/>
              </w:rPr>
            </w:pPr>
            <w:r w:rsidRPr="00657913">
              <w:rPr>
                <w:b/>
                <w:bCs/>
              </w:rPr>
              <w:t>Year</w:t>
            </w:r>
          </w:p>
        </w:tc>
        <w:tc>
          <w:tcPr>
            <w:tcW w:w="0" w:type="auto"/>
            <w:vAlign w:val="center"/>
            <w:hideMark/>
          </w:tcPr>
          <w:p w14:paraId="454F48E5" w14:textId="77777777" w:rsidR="00657913" w:rsidRPr="00657913" w:rsidRDefault="00657913" w:rsidP="00657913">
            <w:pPr>
              <w:rPr>
                <w:b/>
                <w:bCs/>
              </w:rPr>
            </w:pPr>
            <w:r w:rsidRPr="00657913">
              <w:rPr>
                <w:b/>
                <w:bCs/>
              </w:rPr>
              <w:t>Total Debt</w:t>
            </w:r>
          </w:p>
        </w:tc>
        <w:tc>
          <w:tcPr>
            <w:tcW w:w="0" w:type="auto"/>
            <w:vAlign w:val="center"/>
            <w:hideMark/>
          </w:tcPr>
          <w:p w14:paraId="0DAC4BEA" w14:textId="77777777" w:rsidR="00657913" w:rsidRPr="00657913" w:rsidRDefault="00657913" w:rsidP="00657913">
            <w:pPr>
              <w:rPr>
                <w:b/>
                <w:bCs/>
              </w:rPr>
            </w:pPr>
            <w:r w:rsidRPr="00657913">
              <w:rPr>
                <w:b/>
                <w:bCs/>
              </w:rPr>
              <w:t>Reduction</w:t>
            </w:r>
          </w:p>
        </w:tc>
      </w:tr>
      <w:tr w:rsidR="00657913" w:rsidRPr="00657913" w14:paraId="2C5EBF2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455A8A" w14:textId="77777777" w:rsidR="00657913" w:rsidRPr="00657913" w:rsidRDefault="00657913" w:rsidP="00657913">
            <w:r w:rsidRPr="00657913">
              <w:t>2025</w:t>
            </w:r>
          </w:p>
        </w:tc>
        <w:tc>
          <w:tcPr>
            <w:tcW w:w="0" w:type="auto"/>
            <w:vAlign w:val="center"/>
            <w:hideMark/>
          </w:tcPr>
          <w:p w14:paraId="51AF577E" w14:textId="77777777" w:rsidR="00657913" w:rsidRPr="00657913" w:rsidRDefault="00657913" w:rsidP="00657913">
            <w:r w:rsidRPr="00657913">
              <w:t>$411M</w:t>
            </w:r>
          </w:p>
        </w:tc>
        <w:tc>
          <w:tcPr>
            <w:tcW w:w="0" w:type="auto"/>
            <w:vAlign w:val="center"/>
            <w:hideMark/>
          </w:tcPr>
          <w:p w14:paraId="4EBC6440" w14:textId="77777777" w:rsidR="00657913" w:rsidRPr="00657913" w:rsidRDefault="00657913" w:rsidP="00657913">
            <w:r w:rsidRPr="00657913">
              <w:t>-32%</w:t>
            </w:r>
          </w:p>
        </w:tc>
      </w:tr>
      <w:tr w:rsidR="00657913" w:rsidRPr="00657913" w14:paraId="45BD015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D8BF3E" w14:textId="77777777" w:rsidR="00657913" w:rsidRPr="00657913" w:rsidRDefault="00657913" w:rsidP="00657913">
            <w:r w:rsidRPr="00657913">
              <w:t>2024</w:t>
            </w:r>
          </w:p>
        </w:tc>
        <w:tc>
          <w:tcPr>
            <w:tcW w:w="0" w:type="auto"/>
            <w:vAlign w:val="center"/>
            <w:hideMark/>
          </w:tcPr>
          <w:p w14:paraId="1B2D9993" w14:textId="77777777" w:rsidR="00657913" w:rsidRPr="00657913" w:rsidRDefault="00657913" w:rsidP="00657913">
            <w:r w:rsidRPr="00657913">
              <w:t>$603M</w:t>
            </w:r>
          </w:p>
        </w:tc>
        <w:tc>
          <w:tcPr>
            <w:tcW w:w="0" w:type="auto"/>
            <w:vAlign w:val="center"/>
            <w:hideMark/>
          </w:tcPr>
          <w:p w14:paraId="3F694D08" w14:textId="77777777" w:rsidR="00657913" w:rsidRPr="00657913" w:rsidRDefault="00657913" w:rsidP="00657913">
            <w:r w:rsidRPr="00657913">
              <w:t>-2%</w:t>
            </w:r>
          </w:p>
        </w:tc>
      </w:tr>
      <w:tr w:rsidR="00657913" w:rsidRPr="00657913" w14:paraId="1549F59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E8A9AF" w14:textId="77777777" w:rsidR="00657913" w:rsidRPr="00657913" w:rsidRDefault="00657913" w:rsidP="00657913">
            <w:r w:rsidRPr="00657913">
              <w:t>2023</w:t>
            </w:r>
          </w:p>
        </w:tc>
        <w:tc>
          <w:tcPr>
            <w:tcW w:w="0" w:type="auto"/>
            <w:vAlign w:val="center"/>
            <w:hideMark/>
          </w:tcPr>
          <w:p w14:paraId="3EC2AB4A" w14:textId="77777777" w:rsidR="00657913" w:rsidRPr="00657913" w:rsidRDefault="00657913" w:rsidP="00657913">
            <w:r w:rsidRPr="00657913">
              <w:t>$617M</w:t>
            </w:r>
          </w:p>
        </w:tc>
        <w:tc>
          <w:tcPr>
            <w:tcW w:w="0" w:type="auto"/>
            <w:vAlign w:val="center"/>
            <w:hideMark/>
          </w:tcPr>
          <w:p w14:paraId="4D321484" w14:textId="77777777" w:rsidR="00657913" w:rsidRPr="00657913" w:rsidRDefault="00657913" w:rsidP="00657913">
            <w:r w:rsidRPr="00657913">
              <w:t>-5%</w:t>
            </w:r>
          </w:p>
        </w:tc>
      </w:tr>
      <w:tr w:rsidR="00657913" w:rsidRPr="00657913" w14:paraId="5A8F194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5FF321" w14:textId="77777777" w:rsidR="00657913" w:rsidRPr="00657913" w:rsidRDefault="00657913" w:rsidP="00657913">
            <w:r w:rsidRPr="00657913">
              <w:t>2022</w:t>
            </w:r>
          </w:p>
        </w:tc>
        <w:tc>
          <w:tcPr>
            <w:tcW w:w="0" w:type="auto"/>
            <w:vAlign w:val="center"/>
            <w:hideMark/>
          </w:tcPr>
          <w:p w14:paraId="68FF1F30" w14:textId="77777777" w:rsidR="00657913" w:rsidRPr="00657913" w:rsidRDefault="00657913" w:rsidP="00657913">
            <w:r w:rsidRPr="00657913">
              <w:t>$649M</w:t>
            </w:r>
          </w:p>
        </w:tc>
        <w:tc>
          <w:tcPr>
            <w:tcW w:w="0" w:type="auto"/>
            <w:vAlign w:val="center"/>
            <w:hideMark/>
          </w:tcPr>
          <w:p w14:paraId="1E5C6B5A" w14:textId="77777777" w:rsidR="00657913" w:rsidRPr="00657913" w:rsidRDefault="00657913" w:rsidP="00657913">
            <w:r w:rsidRPr="00657913">
              <w:t>-</w:t>
            </w:r>
          </w:p>
        </w:tc>
      </w:tr>
    </w:tbl>
    <w:p w14:paraId="3EC9EB33" w14:textId="77777777" w:rsidR="00657913" w:rsidRPr="00657913" w:rsidRDefault="00657913" w:rsidP="00657913">
      <w:r w:rsidRPr="00657913">
        <w:rPr>
          <w:b/>
          <w:bCs/>
        </w:rPr>
        <w:t>Strength:</w:t>
      </w:r>
      <w:r w:rsidRPr="00657913">
        <w:t xml:space="preserve"> Exceptional liquidity with cash-to-debt ratio of 11.6x</w:t>
      </w:r>
    </w:p>
    <w:p w14:paraId="6350C9A9" w14:textId="77777777" w:rsidR="00657913" w:rsidRPr="00657913" w:rsidRDefault="00657913" w:rsidP="00657913">
      <w:r w:rsidRPr="00657913">
        <w:pict w14:anchorId="1ADD45E9">
          <v:rect id="_x0000_i1095" style="width:0;height:1.5pt" o:hralign="center" o:hrstd="t" o:hr="t" fillcolor="#a0a0a0" stroked="f"/>
        </w:pict>
      </w:r>
    </w:p>
    <w:p w14:paraId="2D5532D6" w14:textId="77777777" w:rsidR="00657913" w:rsidRPr="00657913" w:rsidRDefault="00657913" w:rsidP="00657913">
      <w:pPr>
        <w:rPr>
          <w:b/>
          <w:bCs/>
        </w:rPr>
      </w:pPr>
      <w:r w:rsidRPr="00657913">
        <w:rPr>
          <w:b/>
          <w:bCs/>
        </w:rPr>
        <w:t>Stock Performance Analysis</w:t>
      </w:r>
    </w:p>
    <w:p w14:paraId="388BF86F" w14:textId="77777777" w:rsidR="00657913" w:rsidRPr="00657913" w:rsidRDefault="00657913" w:rsidP="00657913">
      <w:pPr>
        <w:rPr>
          <w:b/>
          <w:bCs/>
        </w:rPr>
      </w:pPr>
      <w:r w:rsidRPr="00657913">
        <w:rPr>
          <w:b/>
          <w:bCs/>
        </w:rPr>
        <w:lastRenderedPageBreak/>
        <w:t>Recent Returns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9"/>
        <w:gridCol w:w="799"/>
        <w:gridCol w:w="2387"/>
      </w:tblGrid>
      <w:tr w:rsidR="00657913" w:rsidRPr="00657913" w14:paraId="0A199DC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C6991B" w14:textId="77777777" w:rsidR="00657913" w:rsidRPr="00657913" w:rsidRDefault="00657913" w:rsidP="00657913">
            <w:pPr>
              <w:rPr>
                <w:b/>
                <w:bCs/>
              </w:rPr>
            </w:pPr>
            <w:r w:rsidRPr="00657913">
              <w:rPr>
                <w:b/>
                <w:bCs/>
              </w:rPr>
              <w:t>Timeframe</w:t>
            </w:r>
          </w:p>
        </w:tc>
        <w:tc>
          <w:tcPr>
            <w:tcW w:w="0" w:type="auto"/>
            <w:vAlign w:val="center"/>
            <w:hideMark/>
          </w:tcPr>
          <w:p w14:paraId="19EC9866" w14:textId="77777777" w:rsidR="00657913" w:rsidRPr="00657913" w:rsidRDefault="00657913" w:rsidP="00657913">
            <w:pPr>
              <w:rPr>
                <w:b/>
                <w:bCs/>
              </w:rPr>
            </w:pPr>
            <w:r w:rsidRPr="00657913">
              <w:rPr>
                <w:b/>
                <w:bCs/>
              </w:rPr>
              <w:t>Return</w:t>
            </w:r>
          </w:p>
        </w:tc>
        <w:tc>
          <w:tcPr>
            <w:tcW w:w="0" w:type="auto"/>
            <w:vAlign w:val="center"/>
            <w:hideMark/>
          </w:tcPr>
          <w:p w14:paraId="249F30A3" w14:textId="77777777" w:rsidR="00657913" w:rsidRPr="00657913" w:rsidRDefault="00657913" w:rsidP="00657913">
            <w:pPr>
              <w:rPr>
                <w:b/>
                <w:bCs/>
              </w:rPr>
            </w:pPr>
            <w:r w:rsidRPr="00657913">
              <w:rPr>
                <w:b/>
                <w:bCs/>
              </w:rPr>
              <w:t>Performance</w:t>
            </w:r>
          </w:p>
        </w:tc>
      </w:tr>
      <w:tr w:rsidR="00657913" w:rsidRPr="00657913" w14:paraId="36FDDFD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C7B158" w14:textId="77777777" w:rsidR="00657913" w:rsidRPr="00657913" w:rsidRDefault="00657913" w:rsidP="00657913">
            <w:r w:rsidRPr="00657913">
              <w:t>1-Month</w:t>
            </w:r>
          </w:p>
        </w:tc>
        <w:tc>
          <w:tcPr>
            <w:tcW w:w="0" w:type="auto"/>
            <w:vAlign w:val="center"/>
            <w:hideMark/>
          </w:tcPr>
          <w:p w14:paraId="6EEB37B6" w14:textId="77777777" w:rsidR="00657913" w:rsidRPr="00657913" w:rsidRDefault="00657913" w:rsidP="00657913">
            <w:r w:rsidRPr="00657913">
              <w:t>-6.8%</w:t>
            </w:r>
          </w:p>
        </w:tc>
        <w:tc>
          <w:tcPr>
            <w:tcW w:w="0" w:type="auto"/>
            <w:vAlign w:val="center"/>
            <w:hideMark/>
          </w:tcPr>
          <w:p w14:paraId="50C52A8A" w14:textId="77777777" w:rsidR="00657913" w:rsidRPr="00657913" w:rsidRDefault="00657913" w:rsidP="00657913">
            <w:r w:rsidRPr="00657913">
              <w:rPr>
                <w:rFonts w:ascii="Segoe UI Emoji" w:hAnsi="Segoe UI Emoji" w:cs="Segoe UI Emoji"/>
              </w:rPr>
              <w:t>🔴</w:t>
            </w:r>
            <w:r w:rsidRPr="00657913">
              <w:t xml:space="preserve"> Negative</w:t>
            </w:r>
          </w:p>
        </w:tc>
      </w:tr>
      <w:tr w:rsidR="00657913" w:rsidRPr="00657913" w14:paraId="44DF09B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81815E" w14:textId="77777777" w:rsidR="00657913" w:rsidRPr="00657913" w:rsidRDefault="00657913" w:rsidP="00657913">
            <w:r w:rsidRPr="00657913">
              <w:t>3-Month</w:t>
            </w:r>
          </w:p>
        </w:tc>
        <w:tc>
          <w:tcPr>
            <w:tcW w:w="0" w:type="auto"/>
            <w:vAlign w:val="center"/>
            <w:hideMark/>
          </w:tcPr>
          <w:p w14:paraId="374CBE74" w14:textId="77777777" w:rsidR="00657913" w:rsidRPr="00657913" w:rsidRDefault="00657913" w:rsidP="00657913">
            <w:r w:rsidRPr="00657913">
              <w:t>-19.6%</w:t>
            </w:r>
          </w:p>
        </w:tc>
        <w:tc>
          <w:tcPr>
            <w:tcW w:w="0" w:type="auto"/>
            <w:vAlign w:val="center"/>
            <w:hideMark/>
          </w:tcPr>
          <w:p w14:paraId="163330AD" w14:textId="77777777" w:rsidR="00657913" w:rsidRPr="00657913" w:rsidRDefault="00657913" w:rsidP="00657913">
            <w:r w:rsidRPr="00657913">
              <w:rPr>
                <w:rFonts w:ascii="Segoe UI Emoji" w:hAnsi="Segoe UI Emoji" w:cs="Segoe UI Emoji"/>
              </w:rPr>
              <w:t>🔴</w:t>
            </w:r>
            <w:r w:rsidRPr="00657913">
              <w:t xml:space="preserve"> Significant Decline</w:t>
            </w:r>
          </w:p>
        </w:tc>
      </w:tr>
      <w:tr w:rsidR="00657913" w:rsidRPr="00657913" w14:paraId="4E97FEF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851D35" w14:textId="77777777" w:rsidR="00657913" w:rsidRPr="00657913" w:rsidRDefault="00657913" w:rsidP="00657913">
            <w:r w:rsidRPr="00657913">
              <w:t>6-Month</w:t>
            </w:r>
          </w:p>
        </w:tc>
        <w:tc>
          <w:tcPr>
            <w:tcW w:w="0" w:type="auto"/>
            <w:vAlign w:val="center"/>
            <w:hideMark/>
          </w:tcPr>
          <w:p w14:paraId="7CBE3EA9" w14:textId="77777777" w:rsidR="00657913" w:rsidRPr="00657913" w:rsidRDefault="00657913" w:rsidP="00657913">
            <w:r w:rsidRPr="00657913">
              <w:t>-14.6%</w:t>
            </w:r>
          </w:p>
        </w:tc>
        <w:tc>
          <w:tcPr>
            <w:tcW w:w="0" w:type="auto"/>
            <w:vAlign w:val="center"/>
            <w:hideMark/>
          </w:tcPr>
          <w:p w14:paraId="2976D361" w14:textId="77777777" w:rsidR="00657913" w:rsidRPr="00657913" w:rsidRDefault="00657913" w:rsidP="00657913">
            <w:r w:rsidRPr="00657913">
              <w:rPr>
                <w:rFonts w:ascii="Segoe UI Emoji" w:hAnsi="Segoe UI Emoji" w:cs="Segoe UI Emoji"/>
              </w:rPr>
              <w:t>🔴</w:t>
            </w:r>
            <w:r w:rsidRPr="00657913">
              <w:t xml:space="preserve"> Negative</w:t>
            </w:r>
          </w:p>
        </w:tc>
      </w:tr>
      <w:tr w:rsidR="00657913" w:rsidRPr="00657913" w14:paraId="4E06126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1E0614" w14:textId="77777777" w:rsidR="00657913" w:rsidRPr="00657913" w:rsidRDefault="00657913" w:rsidP="00657913">
            <w:r w:rsidRPr="00657913">
              <w:t>12-Month</w:t>
            </w:r>
          </w:p>
        </w:tc>
        <w:tc>
          <w:tcPr>
            <w:tcW w:w="0" w:type="auto"/>
            <w:vAlign w:val="center"/>
            <w:hideMark/>
          </w:tcPr>
          <w:p w14:paraId="72DC02C2" w14:textId="77777777" w:rsidR="00657913" w:rsidRPr="00657913" w:rsidRDefault="00657913" w:rsidP="00657913">
            <w:r w:rsidRPr="00657913">
              <w:t>+2.0%</w:t>
            </w:r>
          </w:p>
        </w:tc>
        <w:tc>
          <w:tcPr>
            <w:tcW w:w="0" w:type="auto"/>
            <w:vAlign w:val="center"/>
            <w:hideMark/>
          </w:tcPr>
          <w:p w14:paraId="7D62AFFA" w14:textId="77777777" w:rsidR="00657913" w:rsidRPr="00657913" w:rsidRDefault="00657913" w:rsidP="00657913">
            <w:r w:rsidRPr="00657913">
              <w:rPr>
                <w:rFonts w:ascii="Segoe UI Emoji" w:hAnsi="Segoe UI Emoji" w:cs="Segoe UI Emoji"/>
              </w:rPr>
              <w:t>🟢</w:t>
            </w:r>
            <w:r w:rsidRPr="00657913">
              <w:t xml:space="preserve"> Slightly Positive</w:t>
            </w:r>
          </w:p>
        </w:tc>
      </w:tr>
    </w:tbl>
    <w:p w14:paraId="59FD4B71" w14:textId="77777777" w:rsidR="00657913" w:rsidRPr="00657913" w:rsidRDefault="00657913" w:rsidP="00657913">
      <w:pPr>
        <w:rPr>
          <w:b/>
          <w:bCs/>
        </w:rPr>
      </w:pPr>
      <w:r w:rsidRPr="00657913">
        <w:rPr>
          <w:b/>
          <w:bCs/>
        </w:rPr>
        <w:t>Market Context</w:t>
      </w:r>
    </w:p>
    <w:p w14:paraId="65440D35" w14:textId="77777777" w:rsidR="00657913" w:rsidRPr="00657913" w:rsidRDefault="00657913" w:rsidP="00657913">
      <w:pPr>
        <w:numPr>
          <w:ilvl w:val="0"/>
          <w:numId w:val="3"/>
        </w:numPr>
      </w:pPr>
      <w:r w:rsidRPr="00657913">
        <w:rPr>
          <w:b/>
          <w:bCs/>
        </w:rPr>
        <w:t>Recent Weakness:</w:t>
      </w:r>
      <w:r w:rsidRPr="00657913">
        <w:t xml:space="preserve"> Significant selling pressure over past 3-6 months</w:t>
      </w:r>
    </w:p>
    <w:p w14:paraId="7EBB9E50" w14:textId="77777777" w:rsidR="00657913" w:rsidRPr="00657913" w:rsidRDefault="00657913" w:rsidP="00657913">
      <w:pPr>
        <w:numPr>
          <w:ilvl w:val="0"/>
          <w:numId w:val="3"/>
        </w:numPr>
      </w:pPr>
      <w:r w:rsidRPr="00657913">
        <w:rPr>
          <w:b/>
          <w:bCs/>
        </w:rPr>
        <w:t>Annual Perspective:</w:t>
      </w:r>
      <w:r w:rsidRPr="00657913">
        <w:t xml:space="preserve"> Still maintains slight positive return over 12 months</w:t>
      </w:r>
    </w:p>
    <w:p w14:paraId="7EB5711F" w14:textId="77777777" w:rsidR="00657913" w:rsidRPr="00657913" w:rsidRDefault="00657913" w:rsidP="00657913">
      <w:pPr>
        <w:numPr>
          <w:ilvl w:val="0"/>
          <w:numId w:val="3"/>
        </w:numPr>
      </w:pPr>
      <w:r w:rsidRPr="00657913">
        <w:rPr>
          <w:b/>
          <w:bCs/>
        </w:rPr>
        <w:t>Volatility:</w:t>
      </w:r>
      <w:r w:rsidRPr="00657913">
        <w:t xml:space="preserve"> Episodic price movements characteristic of sentiment-driven trading</w:t>
      </w:r>
    </w:p>
    <w:p w14:paraId="11C1C174" w14:textId="77777777" w:rsidR="00657913" w:rsidRPr="00657913" w:rsidRDefault="00657913" w:rsidP="00657913">
      <w:r w:rsidRPr="00657913">
        <w:pict w14:anchorId="35CFC2FA">
          <v:rect id="_x0000_i1096" style="width:0;height:1.5pt" o:hralign="center" o:hrstd="t" o:hr="t" fillcolor="#a0a0a0" stroked="f"/>
        </w:pict>
      </w:r>
    </w:p>
    <w:p w14:paraId="5127371D" w14:textId="77777777" w:rsidR="00657913" w:rsidRPr="00657913" w:rsidRDefault="00657913" w:rsidP="00657913">
      <w:pPr>
        <w:rPr>
          <w:b/>
          <w:bCs/>
        </w:rPr>
      </w:pPr>
      <w:r w:rsidRPr="00657913">
        <w:rPr>
          <w:b/>
          <w:bCs/>
        </w:rPr>
        <w:t>Key Investment Themes</w:t>
      </w:r>
    </w:p>
    <w:p w14:paraId="687A214F" w14:textId="77777777" w:rsidR="00657913" w:rsidRPr="00657913" w:rsidRDefault="00657913" w:rsidP="00657913">
      <w:pPr>
        <w:rPr>
          <w:b/>
          <w:bCs/>
        </w:rPr>
      </w:pPr>
      <w:r w:rsidRPr="00657913">
        <w:rPr>
          <w:rFonts w:ascii="Segoe UI Emoji" w:hAnsi="Segoe UI Emoji" w:cs="Segoe UI Emoji"/>
          <w:b/>
          <w:bCs/>
        </w:rPr>
        <w:t>🟢</w:t>
      </w:r>
      <w:r w:rsidRPr="00657913">
        <w:rPr>
          <w:b/>
          <w:bCs/>
        </w:rPr>
        <w:t xml:space="preserve"> Strengths &amp; Opportunities</w:t>
      </w:r>
    </w:p>
    <w:p w14:paraId="305CC25F" w14:textId="77777777" w:rsidR="00657913" w:rsidRPr="00657913" w:rsidRDefault="00657913" w:rsidP="00657913">
      <w:pPr>
        <w:numPr>
          <w:ilvl w:val="0"/>
          <w:numId w:val="4"/>
        </w:numPr>
      </w:pPr>
      <w:r w:rsidRPr="00657913">
        <w:rPr>
          <w:b/>
          <w:bCs/>
        </w:rPr>
        <w:t>Exceptional Liquidity</w:t>
      </w:r>
      <w:r w:rsidRPr="00657913">
        <w:t xml:space="preserve"> - $4.76B cash provides significant financial flexibility</w:t>
      </w:r>
    </w:p>
    <w:p w14:paraId="719974D9" w14:textId="77777777" w:rsidR="00657913" w:rsidRPr="00657913" w:rsidRDefault="00657913" w:rsidP="00657913">
      <w:pPr>
        <w:numPr>
          <w:ilvl w:val="0"/>
          <w:numId w:val="4"/>
        </w:numPr>
      </w:pPr>
      <w:r w:rsidRPr="00657913">
        <w:rPr>
          <w:b/>
          <w:bCs/>
        </w:rPr>
        <w:t>Profitability Turnaround</w:t>
      </w:r>
      <w:r w:rsidRPr="00657913">
        <w:t xml:space="preserve"> - Transition from heavy losses to substantial net income</w:t>
      </w:r>
    </w:p>
    <w:p w14:paraId="2724ADD5" w14:textId="77777777" w:rsidR="00657913" w:rsidRPr="00657913" w:rsidRDefault="00657913" w:rsidP="00657913">
      <w:pPr>
        <w:numPr>
          <w:ilvl w:val="0"/>
          <w:numId w:val="4"/>
        </w:numPr>
      </w:pPr>
      <w:r w:rsidRPr="00657913">
        <w:rPr>
          <w:b/>
          <w:bCs/>
        </w:rPr>
        <w:t>Debt Reduction</w:t>
      </w:r>
      <w:r w:rsidRPr="00657913">
        <w:t xml:space="preserve"> - Consistent progress in lowering debt burden</w:t>
      </w:r>
    </w:p>
    <w:p w14:paraId="452D87BD" w14:textId="77777777" w:rsidR="00657913" w:rsidRPr="00657913" w:rsidRDefault="00657913" w:rsidP="00657913">
      <w:pPr>
        <w:numPr>
          <w:ilvl w:val="0"/>
          <w:numId w:val="4"/>
        </w:numPr>
      </w:pPr>
      <w:r w:rsidRPr="00657913">
        <w:rPr>
          <w:b/>
          <w:bCs/>
        </w:rPr>
        <w:t>Strategic Optionality</w:t>
      </w:r>
      <w:r w:rsidRPr="00657913">
        <w:t xml:space="preserve"> - Cash position enables potential M&amp;A, buybacks, or investments</w:t>
      </w:r>
    </w:p>
    <w:p w14:paraId="7EBD42CF" w14:textId="77777777" w:rsidR="00657913" w:rsidRPr="00657913" w:rsidRDefault="00657913" w:rsidP="00657913">
      <w:pPr>
        <w:numPr>
          <w:ilvl w:val="0"/>
          <w:numId w:val="4"/>
        </w:numPr>
      </w:pPr>
      <w:r w:rsidRPr="00657913">
        <w:rPr>
          <w:b/>
          <w:bCs/>
        </w:rPr>
        <w:t>Operational Efficiency</w:t>
      </w:r>
      <w:r w:rsidRPr="00657913">
        <w:t xml:space="preserve"> - Improved margins despite revenue headwinds</w:t>
      </w:r>
    </w:p>
    <w:p w14:paraId="3DB907A5" w14:textId="77777777" w:rsidR="00657913" w:rsidRPr="00657913" w:rsidRDefault="00657913" w:rsidP="00657913">
      <w:pPr>
        <w:rPr>
          <w:b/>
          <w:bCs/>
        </w:rPr>
      </w:pPr>
      <w:r w:rsidRPr="00657913">
        <w:rPr>
          <w:rFonts w:ascii="Segoe UI Emoji" w:hAnsi="Segoe UI Emoji" w:cs="Segoe UI Emoji"/>
          <w:b/>
          <w:bCs/>
        </w:rPr>
        <w:t>🔴</w:t>
      </w:r>
      <w:r w:rsidRPr="00657913">
        <w:rPr>
          <w:b/>
          <w:bCs/>
        </w:rPr>
        <w:t xml:space="preserve"> Risks &amp; Challenges</w:t>
      </w:r>
    </w:p>
    <w:p w14:paraId="7E6715EF" w14:textId="77777777" w:rsidR="00657913" w:rsidRPr="00657913" w:rsidRDefault="00657913" w:rsidP="00657913">
      <w:pPr>
        <w:numPr>
          <w:ilvl w:val="0"/>
          <w:numId w:val="5"/>
        </w:numPr>
      </w:pPr>
      <w:r w:rsidRPr="00657913">
        <w:rPr>
          <w:b/>
          <w:bCs/>
        </w:rPr>
        <w:t>Revenue Decline</w:t>
      </w:r>
      <w:r w:rsidRPr="00657913">
        <w:t xml:space="preserve"> - Sustained top-line contraction raises sustainability concerns</w:t>
      </w:r>
    </w:p>
    <w:p w14:paraId="53C17F96" w14:textId="77777777" w:rsidR="00657913" w:rsidRPr="00657913" w:rsidRDefault="00657913" w:rsidP="00657913">
      <w:pPr>
        <w:numPr>
          <w:ilvl w:val="0"/>
          <w:numId w:val="5"/>
        </w:numPr>
      </w:pPr>
      <w:r w:rsidRPr="00657913">
        <w:rPr>
          <w:b/>
          <w:bCs/>
        </w:rPr>
        <w:t>Market Sentiment</w:t>
      </w:r>
      <w:r w:rsidRPr="00657913">
        <w:t xml:space="preserve"> - Weak recent performance despite fundamental improvements</w:t>
      </w:r>
    </w:p>
    <w:p w14:paraId="414890CF" w14:textId="77777777" w:rsidR="00657913" w:rsidRPr="00657913" w:rsidRDefault="00657913" w:rsidP="00657913">
      <w:pPr>
        <w:numPr>
          <w:ilvl w:val="0"/>
          <w:numId w:val="5"/>
        </w:numPr>
      </w:pPr>
      <w:r w:rsidRPr="00657913">
        <w:rPr>
          <w:b/>
          <w:bCs/>
        </w:rPr>
        <w:t>Governance Uncertainty</w:t>
      </w:r>
      <w:r w:rsidRPr="00657913">
        <w:t xml:space="preserve"> - Interim CEO leadership structure</w:t>
      </w:r>
    </w:p>
    <w:p w14:paraId="17E81D95" w14:textId="77777777" w:rsidR="00657913" w:rsidRPr="00657913" w:rsidRDefault="00657913" w:rsidP="00657913">
      <w:pPr>
        <w:numPr>
          <w:ilvl w:val="0"/>
          <w:numId w:val="5"/>
        </w:numPr>
      </w:pPr>
      <w:r w:rsidRPr="00657913">
        <w:rPr>
          <w:b/>
          <w:bCs/>
        </w:rPr>
        <w:t>Volatility Risk</w:t>
      </w:r>
      <w:r w:rsidRPr="00657913">
        <w:t xml:space="preserve"> - Susceptible to sentiment-driven price movements</w:t>
      </w:r>
    </w:p>
    <w:p w14:paraId="3EC3A270" w14:textId="77777777" w:rsidR="00657913" w:rsidRPr="00657913" w:rsidRDefault="00657913" w:rsidP="00657913">
      <w:pPr>
        <w:numPr>
          <w:ilvl w:val="0"/>
          <w:numId w:val="5"/>
        </w:numPr>
      </w:pPr>
      <w:r w:rsidRPr="00657913">
        <w:rPr>
          <w:b/>
          <w:bCs/>
        </w:rPr>
        <w:lastRenderedPageBreak/>
        <w:t>Data Verification Needed</w:t>
      </w:r>
      <w:r w:rsidRPr="00657913">
        <w:t xml:space="preserve"> - Cash origin requires SEC confirmation (potential one-time items)</w:t>
      </w:r>
    </w:p>
    <w:p w14:paraId="723B7D33" w14:textId="77777777" w:rsidR="00657913" w:rsidRPr="00657913" w:rsidRDefault="00657913" w:rsidP="00657913">
      <w:r w:rsidRPr="00657913">
        <w:pict w14:anchorId="7E77C7A9">
          <v:rect id="_x0000_i1097" style="width:0;height:1.5pt" o:hralign="center" o:hrstd="t" o:hr="t" fillcolor="#a0a0a0" stroked="f"/>
        </w:pict>
      </w:r>
    </w:p>
    <w:p w14:paraId="6F3EF78C" w14:textId="77777777" w:rsidR="00657913" w:rsidRPr="00657913" w:rsidRDefault="00657913" w:rsidP="00657913">
      <w:pPr>
        <w:rPr>
          <w:b/>
          <w:bCs/>
        </w:rPr>
      </w:pPr>
      <w:r w:rsidRPr="00657913">
        <w:rPr>
          <w:b/>
          <w:bCs/>
        </w:rPr>
        <w:t>Fundamental vs Market Divergence</w:t>
      </w:r>
    </w:p>
    <w:p w14:paraId="5DABB6F6" w14:textId="77777777" w:rsidR="00657913" w:rsidRPr="00657913" w:rsidRDefault="00657913" w:rsidP="00657913">
      <w:r w:rsidRPr="00657913">
        <w:t>The analysis reveals a significant disconnect:</w:t>
      </w:r>
    </w:p>
    <w:p w14:paraId="1F96D402" w14:textId="77777777" w:rsidR="00657913" w:rsidRPr="00657913" w:rsidRDefault="00657913" w:rsidP="00657913">
      <w:r w:rsidRPr="00657913">
        <w:rPr>
          <w:b/>
          <w:bCs/>
        </w:rPr>
        <w:t xml:space="preserve">Fundamental Improvement </w:t>
      </w:r>
      <w:r w:rsidRPr="00657913">
        <w:rPr>
          <w:rFonts w:ascii="Segoe UI Emoji" w:hAnsi="Segoe UI Emoji" w:cs="Segoe UI Emoji"/>
          <w:b/>
          <w:bCs/>
        </w:rPr>
        <w:t>✅</w:t>
      </w:r>
    </w:p>
    <w:p w14:paraId="785025FE" w14:textId="77777777" w:rsidR="00657913" w:rsidRPr="00657913" w:rsidRDefault="00657913" w:rsidP="00657913">
      <w:pPr>
        <w:numPr>
          <w:ilvl w:val="0"/>
          <w:numId w:val="6"/>
        </w:numPr>
      </w:pPr>
      <w:r w:rsidRPr="00657913">
        <w:t>Profitability achieved</w:t>
      </w:r>
    </w:p>
    <w:p w14:paraId="35CE763D" w14:textId="77777777" w:rsidR="00657913" w:rsidRPr="00657913" w:rsidRDefault="00657913" w:rsidP="00657913">
      <w:pPr>
        <w:numPr>
          <w:ilvl w:val="0"/>
          <w:numId w:val="6"/>
        </w:numPr>
      </w:pPr>
      <w:r w:rsidRPr="00657913">
        <w:t>Strong balance sheet</w:t>
      </w:r>
    </w:p>
    <w:p w14:paraId="4C9ACA77" w14:textId="77777777" w:rsidR="00657913" w:rsidRPr="00657913" w:rsidRDefault="00657913" w:rsidP="00657913">
      <w:pPr>
        <w:numPr>
          <w:ilvl w:val="0"/>
          <w:numId w:val="6"/>
        </w:numPr>
      </w:pPr>
      <w:r w:rsidRPr="00657913">
        <w:t>Debt reduction</w:t>
      </w:r>
    </w:p>
    <w:p w14:paraId="69561BEF" w14:textId="77777777" w:rsidR="00657913" w:rsidRPr="00657913" w:rsidRDefault="00657913" w:rsidP="00657913">
      <w:pPr>
        <w:numPr>
          <w:ilvl w:val="0"/>
          <w:numId w:val="6"/>
        </w:numPr>
      </w:pPr>
      <w:r w:rsidRPr="00657913">
        <w:t>Cash accumulation</w:t>
      </w:r>
    </w:p>
    <w:p w14:paraId="277A7E76" w14:textId="77777777" w:rsidR="00657913" w:rsidRPr="00657913" w:rsidRDefault="00657913" w:rsidP="00657913">
      <w:r w:rsidRPr="00657913">
        <w:rPr>
          <w:b/>
          <w:bCs/>
        </w:rPr>
        <w:t xml:space="preserve">Market Performance </w:t>
      </w:r>
      <w:r w:rsidRPr="00657913">
        <w:rPr>
          <w:rFonts w:ascii="Segoe UI Emoji" w:hAnsi="Segoe UI Emoji" w:cs="Segoe UI Emoji"/>
          <w:b/>
          <w:bCs/>
        </w:rPr>
        <w:t>❌</w:t>
      </w:r>
    </w:p>
    <w:p w14:paraId="21523828" w14:textId="77777777" w:rsidR="00657913" w:rsidRPr="00657913" w:rsidRDefault="00657913" w:rsidP="00657913">
      <w:pPr>
        <w:numPr>
          <w:ilvl w:val="0"/>
          <w:numId w:val="7"/>
        </w:numPr>
      </w:pPr>
      <w:r w:rsidRPr="00657913">
        <w:t>Recent price decline</w:t>
      </w:r>
    </w:p>
    <w:p w14:paraId="6A410E5A" w14:textId="77777777" w:rsidR="00657913" w:rsidRPr="00657913" w:rsidRDefault="00657913" w:rsidP="00657913">
      <w:pPr>
        <w:numPr>
          <w:ilvl w:val="0"/>
          <w:numId w:val="7"/>
        </w:numPr>
      </w:pPr>
      <w:r w:rsidRPr="00657913">
        <w:t>Negative momentum</w:t>
      </w:r>
    </w:p>
    <w:p w14:paraId="5CD078E5" w14:textId="77777777" w:rsidR="00657913" w:rsidRPr="00657913" w:rsidRDefault="00657913" w:rsidP="00657913">
      <w:pPr>
        <w:numPr>
          <w:ilvl w:val="0"/>
          <w:numId w:val="7"/>
        </w:numPr>
      </w:pPr>
      <w:r w:rsidRPr="00657913">
        <w:t>Investor skepticism</w:t>
      </w:r>
    </w:p>
    <w:p w14:paraId="44BAE01A" w14:textId="77777777" w:rsidR="00657913" w:rsidRPr="00657913" w:rsidRDefault="00657913" w:rsidP="00657913">
      <w:r w:rsidRPr="00657913">
        <w:t>This divergence may represent either:</w:t>
      </w:r>
    </w:p>
    <w:p w14:paraId="50342966" w14:textId="77777777" w:rsidR="00657913" w:rsidRPr="00657913" w:rsidRDefault="00657913" w:rsidP="00657913">
      <w:pPr>
        <w:numPr>
          <w:ilvl w:val="0"/>
          <w:numId w:val="8"/>
        </w:numPr>
      </w:pPr>
      <w:r w:rsidRPr="00657913">
        <w:t>A value investment opportunity, or</w:t>
      </w:r>
    </w:p>
    <w:p w14:paraId="7C2513BB" w14:textId="77777777" w:rsidR="00657913" w:rsidRPr="00657913" w:rsidRDefault="00657913" w:rsidP="00657913">
      <w:pPr>
        <w:numPr>
          <w:ilvl w:val="0"/>
          <w:numId w:val="8"/>
        </w:numPr>
      </w:pPr>
      <w:r w:rsidRPr="00657913">
        <w:t>Market awareness of risks not reflected in financial statements</w:t>
      </w:r>
    </w:p>
    <w:p w14:paraId="3572D96E" w14:textId="77777777" w:rsidR="00657913" w:rsidRPr="00657913" w:rsidRDefault="00657913" w:rsidP="00657913">
      <w:r w:rsidRPr="00657913">
        <w:pict w14:anchorId="54338C3D">
          <v:rect id="_x0000_i1098" style="width:0;height:1.5pt" o:hralign="center" o:hrstd="t" o:hr="t" fillcolor="#a0a0a0" stroked="f"/>
        </w:pict>
      </w:r>
    </w:p>
    <w:p w14:paraId="120C2B67" w14:textId="77777777" w:rsidR="00657913" w:rsidRPr="00657913" w:rsidRDefault="00657913" w:rsidP="00657913">
      <w:pPr>
        <w:rPr>
          <w:b/>
          <w:bCs/>
        </w:rPr>
      </w:pPr>
      <w:r w:rsidRPr="00657913">
        <w:rPr>
          <w:b/>
          <w:bCs/>
        </w:rPr>
        <w:t>Recommendations &amp; Next Steps</w:t>
      </w:r>
    </w:p>
    <w:p w14:paraId="77E9CB1B" w14:textId="77777777" w:rsidR="00657913" w:rsidRPr="00657913" w:rsidRDefault="00657913" w:rsidP="00657913">
      <w:pPr>
        <w:rPr>
          <w:b/>
          <w:bCs/>
        </w:rPr>
      </w:pPr>
      <w:r w:rsidRPr="00657913">
        <w:rPr>
          <w:b/>
          <w:bCs/>
        </w:rPr>
        <w:t>Immediate Actions Required:</w:t>
      </w:r>
    </w:p>
    <w:p w14:paraId="5F21CFF4" w14:textId="77777777" w:rsidR="00657913" w:rsidRPr="00657913" w:rsidRDefault="00657913" w:rsidP="00657913">
      <w:pPr>
        <w:numPr>
          <w:ilvl w:val="0"/>
          <w:numId w:val="9"/>
        </w:numPr>
      </w:pPr>
      <w:r w:rsidRPr="00657913">
        <w:rPr>
          <w:b/>
          <w:bCs/>
        </w:rPr>
        <w:t>SEC Verification</w:t>
      </w:r>
      <w:r w:rsidRPr="00657913">
        <w:t xml:space="preserve"> - Confirm cash origins and sustainability through 10-Q/10-K analysis</w:t>
      </w:r>
    </w:p>
    <w:p w14:paraId="2F33BB4D" w14:textId="77777777" w:rsidR="00657913" w:rsidRPr="00657913" w:rsidRDefault="00657913" w:rsidP="00657913">
      <w:pPr>
        <w:numPr>
          <w:ilvl w:val="0"/>
          <w:numId w:val="9"/>
        </w:numPr>
      </w:pPr>
      <w:r w:rsidRPr="00657913">
        <w:rPr>
          <w:b/>
          <w:bCs/>
        </w:rPr>
        <w:t>8-K Review</w:t>
      </w:r>
      <w:r w:rsidRPr="00657913">
        <w:t xml:space="preserve"> - Examine post-period corporate developments and announcements</w:t>
      </w:r>
    </w:p>
    <w:p w14:paraId="6EA555E2" w14:textId="77777777" w:rsidR="00657913" w:rsidRPr="00657913" w:rsidRDefault="00657913" w:rsidP="00657913">
      <w:pPr>
        <w:numPr>
          <w:ilvl w:val="0"/>
          <w:numId w:val="9"/>
        </w:numPr>
      </w:pPr>
      <w:r w:rsidRPr="00657913">
        <w:rPr>
          <w:b/>
          <w:bCs/>
        </w:rPr>
        <w:t>XBRL Reconciliation</w:t>
      </w:r>
      <w:r w:rsidRPr="00657913">
        <w:t xml:space="preserve"> - Validate financial metrics against official SEC filings</w:t>
      </w:r>
    </w:p>
    <w:p w14:paraId="57DCA1EE" w14:textId="77777777" w:rsidR="00657913" w:rsidRPr="00657913" w:rsidRDefault="00657913" w:rsidP="00657913">
      <w:pPr>
        <w:numPr>
          <w:ilvl w:val="0"/>
          <w:numId w:val="9"/>
        </w:numPr>
      </w:pPr>
      <w:r w:rsidRPr="00657913">
        <w:rPr>
          <w:b/>
          <w:bCs/>
        </w:rPr>
        <w:t>Market Structure Analysis</w:t>
      </w:r>
      <w:r w:rsidRPr="00657913">
        <w:t xml:space="preserve"> - Assess short interest, options flow, and trading patterns</w:t>
      </w:r>
    </w:p>
    <w:p w14:paraId="463D17C7" w14:textId="77777777" w:rsidR="00657913" w:rsidRPr="00657913" w:rsidRDefault="00657913" w:rsidP="00657913">
      <w:pPr>
        <w:rPr>
          <w:b/>
          <w:bCs/>
        </w:rPr>
      </w:pPr>
      <w:r w:rsidRPr="00657913">
        <w:rPr>
          <w:b/>
          <w:bCs/>
        </w:rPr>
        <w:t>Investment Considerations:</w:t>
      </w:r>
    </w:p>
    <w:p w14:paraId="30C611D9" w14:textId="77777777" w:rsidR="00657913" w:rsidRPr="00657913" w:rsidRDefault="00657913" w:rsidP="00657913">
      <w:pPr>
        <w:numPr>
          <w:ilvl w:val="0"/>
          <w:numId w:val="10"/>
        </w:numPr>
      </w:pPr>
      <w:r w:rsidRPr="00657913">
        <w:rPr>
          <w:b/>
          <w:bCs/>
        </w:rPr>
        <w:lastRenderedPageBreak/>
        <w:t>Bull Case:</w:t>
      </w:r>
      <w:r w:rsidRPr="00657913">
        <w:t xml:space="preserve"> Strong fundamentals + discounted valuation = contrarian opportunity</w:t>
      </w:r>
    </w:p>
    <w:p w14:paraId="39A78288" w14:textId="77777777" w:rsidR="00657913" w:rsidRPr="00657913" w:rsidRDefault="00657913" w:rsidP="00657913">
      <w:pPr>
        <w:numPr>
          <w:ilvl w:val="0"/>
          <w:numId w:val="10"/>
        </w:numPr>
      </w:pPr>
      <w:r w:rsidRPr="00657913">
        <w:rPr>
          <w:b/>
          <w:bCs/>
        </w:rPr>
        <w:t>Bear Case:</w:t>
      </w:r>
      <w:r w:rsidRPr="00657913">
        <w:t xml:space="preserve"> Revenue decline may outweigh balance sheet improvements</w:t>
      </w:r>
    </w:p>
    <w:p w14:paraId="6A4766EF" w14:textId="77777777" w:rsidR="00657913" w:rsidRPr="00657913" w:rsidRDefault="00657913" w:rsidP="00657913">
      <w:pPr>
        <w:numPr>
          <w:ilvl w:val="0"/>
          <w:numId w:val="10"/>
        </w:numPr>
      </w:pPr>
      <w:r w:rsidRPr="00657913">
        <w:rPr>
          <w:b/>
          <w:bCs/>
        </w:rPr>
        <w:t>Neutral Case:</w:t>
      </w:r>
      <w:r w:rsidRPr="00657913">
        <w:t xml:space="preserve"> Wait for confirmation of cash sustainability and revenue stabilization</w:t>
      </w:r>
    </w:p>
    <w:p w14:paraId="5044BC42" w14:textId="77777777" w:rsidR="00657913" w:rsidRPr="00657913" w:rsidRDefault="00657913" w:rsidP="00657913">
      <w:r w:rsidRPr="00657913">
        <w:pict w14:anchorId="5897E516">
          <v:rect id="_x0000_i1099" style="width:0;height:1.5pt" o:hralign="center" o:hrstd="t" o:hr="t" fillcolor="#a0a0a0" stroked="f"/>
        </w:pict>
      </w:r>
    </w:p>
    <w:p w14:paraId="77F71D38" w14:textId="77777777" w:rsidR="00657913" w:rsidRPr="00657913" w:rsidRDefault="00657913" w:rsidP="00657913">
      <w:pPr>
        <w:rPr>
          <w:b/>
          <w:bCs/>
        </w:rPr>
      </w:pPr>
      <w:r w:rsidRPr="00657913">
        <w:rPr>
          <w:b/>
          <w:bCs/>
        </w:rPr>
        <w:t>Data Quality Notes</w:t>
      </w:r>
    </w:p>
    <w:p w14:paraId="5E28E71A" w14:textId="77777777" w:rsidR="00657913" w:rsidRPr="00657913" w:rsidRDefault="00657913" w:rsidP="00657913">
      <w:r w:rsidRPr="00657913">
        <w:rPr>
          <w:rFonts w:ascii="Segoe UI Emoji" w:hAnsi="Segoe UI Emoji" w:cs="Segoe UI Emoji"/>
        </w:rPr>
        <w:t>⚠️</w:t>
      </w:r>
      <w:r w:rsidRPr="00657913">
        <w:t xml:space="preserve"> </w:t>
      </w:r>
      <w:r w:rsidRPr="00657913">
        <w:rPr>
          <w:b/>
          <w:bCs/>
        </w:rPr>
        <w:t>Important Disclaimers:</w:t>
      </w:r>
    </w:p>
    <w:p w14:paraId="6236B0BA" w14:textId="77777777" w:rsidR="00657913" w:rsidRPr="00657913" w:rsidRDefault="00657913" w:rsidP="00657913">
      <w:pPr>
        <w:numPr>
          <w:ilvl w:val="0"/>
          <w:numId w:val="11"/>
        </w:numPr>
      </w:pPr>
      <w:r w:rsidRPr="00657913">
        <w:t xml:space="preserve">Initial financial data sourced from </w:t>
      </w:r>
      <w:proofErr w:type="spellStart"/>
      <w:r w:rsidRPr="00657913">
        <w:t>yfinance</w:t>
      </w:r>
      <w:proofErr w:type="spellEnd"/>
      <w:r w:rsidRPr="00657913">
        <w:t xml:space="preserve"> requires SEC EDGAR verification</w:t>
      </w:r>
    </w:p>
    <w:p w14:paraId="6726B911" w14:textId="77777777" w:rsidR="00657913" w:rsidRPr="00657913" w:rsidRDefault="00657913" w:rsidP="00657913">
      <w:pPr>
        <w:numPr>
          <w:ilvl w:val="0"/>
          <w:numId w:val="11"/>
        </w:numPr>
      </w:pPr>
      <w:r w:rsidRPr="00657913">
        <w:t>Cash balance of $4.76B may include non-recurring items requiring confirmation</w:t>
      </w:r>
    </w:p>
    <w:p w14:paraId="5396B7C9" w14:textId="77777777" w:rsidR="00657913" w:rsidRPr="00657913" w:rsidRDefault="00657913" w:rsidP="00657913">
      <w:pPr>
        <w:numPr>
          <w:ilvl w:val="0"/>
          <w:numId w:val="11"/>
        </w:numPr>
      </w:pPr>
      <w:r w:rsidRPr="00657913">
        <w:t>Price returns provided pre-calculated; recommend exchange data validation</w:t>
      </w:r>
    </w:p>
    <w:p w14:paraId="58158876" w14:textId="77777777" w:rsidR="00657913" w:rsidRPr="00657913" w:rsidRDefault="00657913" w:rsidP="00657913">
      <w:pPr>
        <w:numPr>
          <w:ilvl w:val="0"/>
          <w:numId w:val="11"/>
        </w:numPr>
      </w:pPr>
      <w:r w:rsidRPr="00657913">
        <w:t>Diluted share count subject to corporate action verification</w:t>
      </w:r>
    </w:p>
    <w:p w14:paraId="4D210D07" w14:textId="77777777" w:rsidR="00657913" w:rsidRPr="00657913" w:rsidRDefault="00657913" w:rsidP="00657913">
      <w:r w:rsidRPr="00657913">
        <w:pict w14:anchorId="563C7088">
          <v:rect id="_x0000_i1100" style="width:0;height:1.5pt" o:hralign="center" o:hrstd="t" o:hr="t" fillcolor="#a0a0a0" stroked="f"/>
        </w:pict>
      </w:r>
    </w:p>
    <w:p w14:paraId="07FDB08B" w14:textId="77777777" w:rsidR="00657913" w:rsidRPr="00657913" w:rsidRDefault="00657913" w:rsidP="00657913">
      <w:pPr>
        <w:rPr>
          <w:b/>
          <w:bCs/>
        </w:rPr>
      </w:pPr>
      <w:r w:rsidRPr="00657913">
        <w:rPr>
          <w:b/>
          <w:bCs/>
        </w:rPr>
        <w:t>Conclusion</w:t>
      </w:r>
    </w:p>
    <w:p w14:paraId="2A6A86A9" w14:textId="77777777" w:rsidR="00657913" w:rsidRPr="00657913" w:rsidRDefault="00657913" w:rsidP="00657913">
      <w:r w:rsidRPr="00657913">
        <w:t xml:space="preserve">GameStop represents a complex investment case with strong fundamental improvements contrasting with weak market performance. The exceptional cash position and profitability turnaround are notable </w:t>
      </w:r>
      <w:proofErr w:type="gramStart"/>
      <w:r w:rsidRPr="00657913">
        <w:t>positives</w:t>
      </w:r>
      <w:proofErr w:type="gramEnd"/>
      <w:r w:rsidRPr="00657913">
        <w:t>, while the revenue decline and recent stock weakness warrant caution. Further SEC filing analysis is recommended before making investment decisions.</w:t>
      </w:r>
    </w:p>
    <w:p w14:paraId="53BCC3C8" w14:textId="77777777" w:rsidR="00657913" w:rsidRPr="00657913" w:rsidRDefault="00657913" w:rsidP="00657913">
      <w:r w:rsidRPr="00657913">
        <w:rPr>
          <w:i/>
          <w:iCs/>
        </w:rPr>
        <w:t xml:space="preserve">This report </w:t>
      </w:r>
      <w:proofErr w:type="gramStart"/>
      <w:r w:rsidRPr="00657913">
        <w:rPr>
          <w:i/>
          <w:iCs/>
        </w:rPr>
        <w:t>prepared</w:t>
      </w:r>
      <w:proofErr w:type="gramEnd"/>
      <w:r w:rsidRPr="00657913">
        <w:rPr>
          <w:i/>
          <w:iCs/>
        </w:rPr>
        <w:t xml:space="preserve"> for informational purposes only. Not investment advice.</w:t>
      </w:r>
    </w:p>
    <w:p w14:paraId="0BAFA6F4" w14:textId="77777777" w:rsidR="00657913" w:rsidRPr="00657913" w:rsidRDefault="00657913" w:rsidP="00657913">
      <w:r w:rsidRPr="00657913">
        <w:pict w14:anchorId="67B5EEB1">
          <v:rect id="_x0000_i1101" style="width:0;height:1.5pt" o:hralign="center" o:hrstd="t" o:hr="t" fillcolor="#a0a0a0" stroked="f"/>
        </w:pict>
      </w:r>
    </w:p>
    <w:p w14:paraId="6CA48334" w14:textId="77777777" w:rsidR="00657913" w:rsidRPr="00657913" w:rsidRDefault="00657913" w:rsidP="00657913">
      <w:r w:rsidRPr="00657913">
        <w:rPr>
          <w:i/>
          <w:iCs/>
        </w:rPr>
        <w:t xml:space="preserve">Report Generated: August 22, </w:t>
      </w:r>
      <w:proofErr w:type="gramStart"/>
      <w:r w:rsidRPr="00657913">
        <w:rPr>
          <w:i/>
          <w:iCs/>
        </w:rPr>
        <w:t>2025</w:t>
      </w:r>
      <w:proofErr w:type="gramEnd"/>
      <w:r w:rsidRPr="00657913">
        <w:rPr>
          <w:i/>
          <w:iCs/>
        </w:rPr>
        <w:t xml:space="preserve"> • Data Source: SEC EDGAR, </w:t>
      </w:r>
      <w:proofErr w:type="spellStart"/>
      <w:r w:rsidRPr="00657913">
        <w:rPr>
          <w:i/>
          <w:iCs/>
        </w:rPr>
        <w:t>yfinance</w:t>
      </w:r>
      <w:proofErr w:type="spellEnd"/>
      <w:r w:rsidRPr="00657913">
        <w:rPr>
          <w:i/>
          <w:iCs/>
        </w:rPr>
        <w:t xml:space="preserve"> • Analysis Period: LTM through July 31, 2025</w:t>
      </w:r>
    </w:p>
    <w:p w14:paraId="4CB381DB" w14:textId="665C2B05" w:rsidR="00657913" w:rsidRPr="00657913" w:rsidRDefault="00657913"/>
    <w:sectPr w:rsidR="00657913" w:rsidRPr="006579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8422CD"/>
    <w:multiLevelType w:val="multilevel"/>
    <w:tmpl w:val="B6C2B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821B14"/>
    <w:multiLevelType w:val="multilevel"/>
    <w:tmpl w:val="F8127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544343"/>
    <w:multiLevelType w:val="multilevel"/>
    <w:tmpl w:val="59604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602662"/>
    <w:multiLevelType w:val="multilevel"/>
    <w:tmpl w:val="53FAF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8B2C96"/>
    <w:multiLevelType w:val="multilevel"/>
    <w:tmpl w:val="75AA8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2F6321"/>
    <w:multiLevelType w:val="multilevel"/>
    <w:tmpl w:val="5C328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A82DCD"/>
    <w:multiLevelType w:val="multilevel"/>
    <w:tmpl w:val="8196F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AD5635"/>
    <w:multiLevelType w:val="multilevel"/>
    <w:tmpl w:val="D5884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D10317"/>
    <w:multiLevelType w:val="multilevel"/>
    <w:tmpl w:val="7CEA8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2460607"/>
    <w:multiLevelType w:val="multilevel"/>
    <w:tmpl w:val="EDFA2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5B31909"/>
    <w:multiLevelType w:val="multilevel"/>
    <w:tmpl w:val="6C103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4964215">
    <w:abstractNumId w:val="0"/>
  </w:num>
  <w:num w:numId="2" w16cid:durableId="1117138023">
    <w:abstractNumId w:val="7"/>
  </w:num>
  <w:num w:numId="3" w16cid:durableId="1052079022">
    <w:abstractNumId w:val="10"/>
  </w:num>
  <w:num w:numId="4" w16cid:durableId="1721593474">
    <w:abstractNumId w:val="3"/>
  </w:num>
  <w:num w:numId="5" w16cid:durableId="1586844774">
    <w:abstractNumId w:val="8"/>
  </w:num>
  <w:num w:numId="6" w16cid:durableId="80490476">
    <w:abstractNumId w:val="1"/>
  </w:num>
  <w:num w:numId="7" w16cid:durableId="1079522078">
    <w:abstractNumId w:val="5"/>
  </w:num>
  <w:num w:numId="8" w16cid:durableId="352733593">
    <w:abstractNumId w:val="9"/>
  </w:num>
  <w:num w:numId="9" w16cid:durableId="1084455565">
    <w:abstractNumId w:val="4"/>
  </w:num>
  <w:num w:numId="10" w16cid:durableId="1626958158">
    <w:abstractNumId w:val="6"/>
  </w:num>
  <w:num w:numId="11" w16cid:durableId="18988531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913"/>
    <w:rsid w:val="00657913"/>
    <w:rsid w:val="00C87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78F2E"/>
  <w15:chartTrackingRefBased/>
  <w15:docId w15:val="{6C1DA5CC-116C-40B5-8E91-2E53D73B0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79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79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79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79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79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79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79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79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79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79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79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79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79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79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79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79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79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79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79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79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79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79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79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79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79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79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79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79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79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741</Words>
  <Characters>4224</Characters>
  <Application>Microsoft Office Word</Application>
  <DocSecurity>0</DocSecurity>
  <Lines>35</Lines>
  <Paragraphs>9</Paragraphs>
  <ScaleCrop>false</ScaleCrop>
  <Company/>
  <LinksUpToDate>false</LinksUpToDate>
  <CharactersWithSpaces>4956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Garcia</dc:creator>
  <cp:keywords/>
  <dc:description/>
  <cp:lastModifiedBy>Daniel Garcia</cp:lastModifiedBy>
  <cp:revision>1</cp:revision>
  <dcterms:created xsi:type="dcterms:W3CDTF">2025-08-22T01:30:00Z</dcterms:created>
  <dcterms:modified xsi:type="dcterms:W3CDTF">2025-08-22T01:32:00Z</dcterms:modified>
</cp:coreProperties>
</file>