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7616" w:rsidRDefault="003A2DCF">
      <w:r>
        <w:rPr>
          <w:noProof/>
        </w:rPr>
        <w:drawing>
          <wp:inline distT="0" distB="0" distL="0" distR="0">
            <wp:extent cx="5484940" cy="1536970"/>
            <wp:effectExtent l="0" t="0" r="190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MTD.eps"/>
                    <pic:cNvPicPr/>
                  </pic:nvPicPr>
                  <pic:blipFill rotWithShape="1">
                    <a:blip r:embed="rId5">
                      <a:extLst>
                        <a:ext uri="{28A0092B-C50C-407E-A947-70E740481C1C}">
                          <a14:useLocalDpi xmlns:a14="http://schemas.microsoft.com/office/drawing/2010/main" val="0"/>
                        </a:ext>
                      </a:extLst>
                    </a:blip>
                    <a:srcRect b="50771"/>
                    <a:stretch/>
                  </pic:blipFill>
                  <pic:spPr bwMode="auto">
                    <a:xfrm>
                      <a:off x="0" y="0"/>
                      <a:ext cx="5486400" cy="153737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r>
        <w:rPr>
          <w:noProof/>
        </w:rPr>
        <w:drawing>
          <wp:inline distT="0" distB="0" distL="0" distR="0">
            <wp:extent cx="5484634" cy="158548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AT.eps"/>
                    <pic:cNvPicPr/>
                  </pic:nvPicPr>
                  <pic:blipFill rotWithShape="1">
                    <a:blip r:embed="rId6">
                      <a:extLst>
                        <a:ext uri="{28A0092B-C50C-407E-A947-70E740481C1C}">
                          <a14:useLocalDpi xmlns:a14="http://schemas.microsoft.com/office/drawing/2010/main" val="0"/>
                        </a:ext>
                      </a:extLst>
                    </a:blip>
                    <a:srcRect t="49215" b="-1"/>
                    <a:stretch/>
                  </pic:blipFill>
                  <pic:spPr bwMode="auto">
                    <a:xfrm>
                      <a:off x="0" y="0"/>
                      <a:ext cx="5486400" cy="1585998"/>
                    </a:xfrm>
                    <a:prstGeom prst="rect">
                      <a:avLst/>
                    </a:prstGeom>
                    <a:ln>
                      <a:noFill/>
                    </a:ln>
                    <a:extLst>
                      <a:ext uri="{53640926-AAD7-44d8-BBD7-CCE9431645EC}">
                        <a14:shadowObscured xmlns:a14="http://schemas.microsoft.com/office/drawing/2010/main"/>
                      </a:ext>
                    </a:extLst>
                  </pic:spPr>
                </pic:pic>
              </a:graphicData>
            </a:graphic>
          </wp:inline>
        </w:drawing>
      </w:r>
    </w:p>
    <w:p w:rsidR="003A2DCF" w:rsidRDefault="003A2DCF"/>
    <w:p w:rsidR="003A2DCF" w:rsidRDefault="003A2DCF" w:rsidP="003A2DCF">
      <w:pPr>
        <w:spacing w:line="480" w:lineRule="auto"/>
        <w:rPr>
          <w:rFonts w:ascii="Minion Pro" w:hAnsi="Minion Pro" w:cs="Arial"/>
          <w:sz w:val="22"/>
          <w:szCs w:val="22"/>
        </w:rPr>
      </w:pPr>
      <w:proofErr w:type="gramStart"/>
      <w:r w:rsidRPr="006A4281">
        <w:rPr>
          <w:rFonts w:ascii="Minion Pro" w:hAnsi="Minion Pro" w:cs="Arial"/>
          <w:b/>
          <w:sz w:val="22"/>
          <w:szCs w:val="22"/>
        </w:rPr>
        <w:t xml:space="preserve">Figure 1 | Computer simulations of </w:t>
      </w:r>
      <w:proofErr w:type="spellStart"/>
      <w:r w:rsidRPr="006A4281">
        <w:rPr>
          <w:rFonts w:ascii="Minion Pro" w:hAnsi="Minion Pro" w:cs="Arial"/>
          <w:b/>
          <w:sz w:val="22"/>
          <w:szCs w:val="22"/>
        </w:rPr>
        <w:t>mCRPC</w:t>
      </w:r>
      <w:proofErr w:type="spellEnd"/>
      <w:r w:rsidRPr="006A4281">
        <w:rPr>
          <w:rFonts w:ascii="Minion Pro" w:hAnsi="Minion Pro" w:cs="Arial"/>
          <w:b/>
          <w:sz w:val="22"/>
          <w:szCs w:val="22"/>
        </w:rPr>
        <w:t xml:space="preserve"> growth during conventional and adaptive application of abiraterone.</w:t>
      </w:r>
      <w:proofErr w:type="gramEnd"/>
      <w:r w:rsidRPr="004B64A8">
        <w:rPr>
          <w:rFonts w:ascii="Minion Pro" w:hAnsi="Minion Pro" w:cs="Arial"/>
          <w:sz w:val="22"/>
          <w:szCs w:val="22"/>
        </w:rPr>
        <w:t xml:space="preserve"> </w:t>
      </w:r>
      <w:r>
        <w:rPr>
          <w:rFonts w:ascii="Minion Pro" w:hAnsi="Minion Pro" w:cs="Arial"/>
          <w:sz w:val="22"/>
          <w:szCs w:val="22"/>
        </w:rPr>
        <w:t xml:space="preserve"> </w:t>
      </w:r>
      <w:r w:rsidRPr="006A4281">
        <w:rPr>
          <w:rFonts w:ascii="Minion Pro" w:hAnsi="Minion Pro" w:cs="Arial"/>
          <w:i/>
          <w:sz w:val="22"/>
          <w:szCs w:val="22"/>
        </w:rPr>
        <w:t>Top panel</w:t>
      </w:r>
      <w:r>
        <w:rPr>
          <w:rFonts w:ascii="Minion Pro" w:hAnsi="Minion Pro" w:cs="Arial"/>
          <w:sz w:val="22"/>
          <w:szCs w:val="22"/>
        </w:rPr>
        <w:t xml:space="preserve">, </w:t>
      </w:r>
      <w:r w:rsidRPr="004B64A8">
        <w:rPr>
          <w:rFonts w:ascii="Minion Pro" w:hAnsi="Minion Pro" w:cs="Arial"/>
          <w:sz w:val="22"/>
          <w:szCs w:val="22"/>
        </w:rPr>
        <w:t>computer simulation of conventional abir</w:t>
      </w:r>
      <w:r>
        <w:rPr>
          <w:rFonts w:ascii="Minion Pro" w:hAnsi="Minion Pro" w:cs="Arial"/>
          <w:sz w:val="22"/>
          <w:szCs w:val="22"/>
        </w:rPr>
        <w:t xml:space="preserve">aterone treatment at MTD until </w:t>
      </w:r>
      <w:r w:rsidRPr="004B64A8">
        <w:rPr>
          <w:rFonts w:ascii="Minion Pro" w:hAnsi="Minion Pro" w:cs="Arial"/>
          <w:sz w:val="22"/>
          <w:szCs w:val="22"/>
        </w:rPr>
        <w:t xml:space="preserve">progression. This strategy selects for the resistant </w:t>
      </w:r>
      <w:proofErr w:type="spellStart"/>
      <w:r w:rsidRPr="004B64A8">
        <w:rPr>
          <w:rFonts w:ascii="Minion Pro" w:hAnsi="Minion Pro" w:cs="Arial"/>
          <w:sz w:val="22"/>
          <w:szCs w:val="22"/>
        </w:rPr>
        <w:t>subclones</w:t>
      </w:r>
      <w:proofErr w:type="spellEnd"/>
      <w:r w:rsidRPr="004B64A8">
        <w:rPr>
          <w:rFonts w:ascii="Minion Pro" w:hAnsi="Minion Pro" w:cs="Arial"/>
          <w:sz w:val="22"/>
          <w:szCs w:val="22"/>
        </w:rPr>
        <w:t xml:space="preserve"> and eliminates competitors to accelerate pro</w:t>
      </w:r>
      <w:r>
        <w:rPr>
          <w:rFonts w:ascii="Minion Pro" w:hAnsi="Minion Pro" w:cs="Arial"/>
          <w:sz w:val="22"/>
          <w:szCs w:val="22"/>
        </w:rPr>
        <w:t xml:space="preserve">gression – an </w:t>
      </w:r>
      <w:r w:rsidRPr="004B64A8">
        <w:rPr>
          <w:rFonts w:ascii="Minion Pro" w:hAnsi="Minion Pro" w:cs="Arial"/>
          <w:sz w:val="22"/>
          <w:szCs w:val="22"/>
        </w:rPr>
        <w:t xml:space="preserve">evolutionary phenomenon </w:t>
      </w:r>
      <w:r>
        <w:rPr>
          <w:rFonts w:ascii="Minion Pro" w:hAnsi="Minion Pro" w:cs="Arial"/>
          <w:sz w:val="22"/>
          <w:szCs w:val="22"/>
        </w:rPr>
        <w:t>coined</w:t>
      </w:r>
      <w:r w:rsidRPr="004B64A8">
        <w:rPr>
          <w:rFonts w:ascii="Minion Pro" w:hAnsi="Minion Pro" w:cs="Arial"/>
          <w:sz w:val="22"/>
          <w:szCs w:val="22"/>
        </w:rPr>
        <w:t xml:space="preserve"> “competitive release.”  </w:t>
      </w:r>
      <w:r>
        <w:rPr>
          <w:rFonts w:ascii="Minion Pro" w:hAnsi="Minion Pro" w:cs="Arial"/>
          <w:i/>
          <w:sz w:val="22"/>
          <w:szCs w:val="22"/>
        </w:rPr>
        <w:t>Bottom</w:t>
      </w:r>
      <w:r w:rsidRPr="000A43C0">
        <w:rPr>
          <w:rFonts w:ascii="Minion Pro" w:hAnsi="Minion Pro" w:cs="Arial"/>
          <w:i/>
          <w:sz w:val="22"/>
          <w:szCs w:val="22"/>
        </w:rPr>
        <w:t xml:space="preserve"> panel</w:t>
      </w:r>
      <w:r w:rsidRPr="004B64A8">
        <w:rPr>
          <w:rFonts w:ascii="Minion Pro" w:hAnsi="Minion Pro" w:cs="Arial"/>
          <w:sz w:val="22"/>
          <w:szCs w:val="22"/>
        </w:rPr>
        <w:t xml:space="preserve">, model </w:t>
      </w:r>
      <w:r>
        <w:rPr>
          <w:rFonts w:ascii="Minion Pro" w:hAnsi="Minion Pro" w:cs="Arial"/>
          <w:sz w:val="22"/>
          <w:szCs w:val="22"/>
        </w:rPr>
        <w:t xml:space="preserve">of </w:t>
      </w:r>
      <w:r w:rsidRPr="004B64A8">
        <w:rPr>
          <w:rFonts w:ascii="Minion Pro" w:hAnsi="Minion Pro" w:cs="Arial"/>
          <w:sz w:val="22"/>
          <w:szCs w:val="22"/>
        </w:rPr>
        <w:t xml:space="preserve">a strategy in which therapy-sensitive cells are preserved by withdrawing abiraterone when the PSA reaches </w:t>
      </w:r>
      <w:r>
        <w:rPr>
          <w:rFonts w:ascii="Minion Pro" w:hAnsi="Minion Pro" w:cs="Arial"/>
          <w:sz w:val="22"/>
          <w:szCs w:val="22"/>
        </w:rPr>
        <w:t>half</w:t>
      </w:r>
      <w:r w:rsidRPr="004B64A8">
        <w:rPr>
          <w:rFonts w:ascii="Minion Pro" w:hAnsi="Minion Pro" w:cs="Arial"/>
          <w:sz w:val="22"/>
          <w:szCs w:val="22"/>
        </w:rPr>
        <w:t xml:space="preserve"> of its pre-treatment value.  This permits the tumor to regrow but, in the absence of therapy, the sensitive cells are fitter and thus remain the dominant population. This permits retreatment with abiraterone to maintain tumor cont</w:t>
      </w:r>
      <w:r>
        <w:rPr>
          <w:rFonts w:ascii="Minion Pro" w:hAnsi="Minion Pro" w:cs="Arial"/>
          <w:sz w:val="22"/>
          <w:szCs w:val="22"/>
        </w:rPr>
        <w:t>rol over multiple cycles.  Note</w:t>
      </w:r>
      <w:r w:rsidRPr="004B64A8">
        <w:rPr>
          <w:rFonts w:ascii="Minion Pro" w:hAnsi="Minion Pro" w:cs="Arial"/>
          <w:sz w:val="22"/>
          <w:szCs w:val="22"/>
        </w:rPr>
        <w:t xml:space="preserve">, however, that at </w:t>
      </w:r>
      <w:r>
        <w:rPr>
          <w:rFonts w:ascii="Minion Pro" w:hAnsi="Minion Pro" w:cs="Arial"/>
          <w:sz w:val="22"/>
          <w:szCs w:val="22"/>
        </w:rPr>
        <w:t xml:space="preserve">the </w:t>
      </w:r>
      <w:r w:rsidRPr="004B64A8">
        <w:rPr>
          <w:rFonts w:ascii="Minion Pro" w:hAnsi="Minion Pro" w:cs="Arial"/>
          <w:sz w:val="22"/>
          <w:szCs w:val="22"/>
        </w:rPr>
        <w:t>PSA trough of each cy</w:t>
      </w:r>
      <w:r>
        <w:rPr>
          <w:rFonts w:ascii="Minion Pro" w:hAnsi="Minion Pro" w:cs="Arial"/>
          <w:sz w:val="22"/>
          <w:szCs w:val="22"/>
        </w:rPr>
        <w:t>c</w:t>
      </w:r>
      <w:r w:rsidRPr="004B64A8">
        <w:rPr>
          <w:rFonts w:ascii="Minion Pro" w:hAnsi="Minion Pro" w:cs="Arial"/>
          <w:sz w:val="22"/>
          <w:szCs w:val="22"/>
        </w:rPr>
        <w:t>le there is a small increase of the T- cells.  This permits a slow but monotonic increase in the population of resistant cells that will eventually lead to treatment failure. The number of cycles until failure is dependent on the size of the original T- population and their growth rate. Model predictions suggest the number of observed cycle</w:t>
      </w:r>
      <w:r>
        <w:rPr>
          <w:rFonts w:ascii="Minion Pro" w:hAnsi="Minion Pro" w:cs="Arial"/>
          <w:sz w:val="22"/>
          <w:szCs w:val="22"/>
        </w:rPr>
        <w:t>s</w:t>
      </w:r>
      <w:r w:rsidRPr="004B64A8">
        <w:rPr>
          <w:rFonts w:ascii="Minion Pro" w:hAnsi="Minion Pro" w:cs="Arial"/>
          <w:sz w:val="22"/>
          <w:szCs w:val="22"/>
        </w:rPr>
        <w:t xml:space="preserve"> will range from 2 to 20.  Importantly the model predicts cycle </w:t>
      </w:r>
      <w:r w:rsidRPr="004B64A8">
        <w:rPr>
          <w:rFonts w:ascii="Minion Pro" w:hAnsi="Minion Pro" w:cs="Arial"/>
          <w:sz w:val="22"/>
          <w:szCs w:val="22"/>
        </w:rPr>
        <w:lastRenderedPageBreak/>
        <w:t>length can vary depending on initial conditions (</w:t>
      </w:r>
      <w:r w:rsidRPr="000A43C0">
        <w:rPr>
          <w:rFonts w:ascii="Minion Pro" w:hAnsi="Minion Pro" w:cs="Arial"/>
          <w:i/>
          <w:sz w:val="22"/>
          <w:szCs w:val="22"/>
        </w:rPr>
        <w:t>i.e.</w:t>
      </w:r>
      <w:r w:rsidRPr="004B64A8">
        <w:rPr>
          <w:rFonts w:ascii="Minion Pro" w:hAnsi="Minion Pro" w:cs="Arial"/>
          <w:sz w:val="22"/>
          <w:szCs w:val="22"/>
        </w:rPr>
        <w:t xml:space="preserve">, the pretreatment size of the subpopulations) and the relative fitness difference values of each phenotype.  </w:t>
      </w:r>
    </w:p>
    <w:p w:rsidR="003A2DCF" w:rsidRDefault="003A2DCF">
      <w:r>
        <w:rPr>
          <w:noProof/>
        </w:rPr>
        <w:drawing>
          <wp:inline distT="0" distB="0" distL="0" distR="0">
            <wp:extent cx="5486400" cy="3112770"/>
            <wp:effectExtent l="0" t="0" r="0" b="11430"/>
            <wp:docPr id="3" name="Picture 3" descr="Macintosh HD:Users:cunningham:Dropbox:ProstateCancerModel:CurrentCode:PSAManuscriptFigures:FinalFigures_Version2:Figure2_SlowVsFa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unningham:Dropbox:ProstateCancerModel:CurrentCode:PSAManuscriptFigures:FinalFigures_Version2:Figure2_SlowVsFast.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112770"/>
                    </a:xfrm>
                    <a:prstGeom prst="rect">
                      <a:avLst/>
                    </a:prstGeom>
                    <a:noFill/>
                    <a:ln>
                      <a:noFill/>
                    </a:ln>
                  </pic:spPr>
                </pic:pic>
              </a:graphicData>
            </a:graphic>
          </wp:inline>
        </w:drawing>
      </w:r>
    </w:p>
    <w:p w:rsidR="003A2DCF" w:rsidRDefault="003A2DCF"/>
    <w:p w:rsidR="003A2DCF" w:rsidRPr="00E041AC" w:rsidRDefault="003A2DCF" w:rsidP="003A2DCF">
      <w:pPr>
        <w:spacing w:line="480" w:lineRule="auto"/>
        <w:rPr>
          <w:rFonts w:ascii="Arial" w:hAnsi="Arial" w:cs="Arial"/>
          <w:sz w:val="22"/>
          <w:szCs w:val="22"/>
        </w:rPr>
      </w:pPr>
      <w:proofErr w:type="gramStart"/>
      <w:r w:rsidRPr="000A43C0">
        <w:rPr>
          <w:rFonts w:ascii="Arial" w:hAnsi="Arial" w:cs="Arial"/>
          <w:b/>
          <w:sz w:val="22"/>
          <w:szCs w:val="22"/>
        </w:rPr>
        <w:t>Figure 2</w:t>
      </w:r>
      <w:r>
        <w:rPr>
          <w:rFonts w:ascii="Arial" w:hAnsi="Arial" w:cs="Arial"/>
          <w:b/>
          <w:sz w:val="22"/>
          <w:szCs w:val="22"/>
        </w:rPr>
        <w:t xml:space="preserve"> |</w:t>
      </w:r>
      <w:r w:rsidRPr="000A43C0">
        <w:rPr>
          <w:rFonts w:ascii="Arial" w:hAnsi="Arial" w:cs="Arial"/>
          <w:sz w:val="22"/>
          <w:szCs w:val="22"/>
        </w:rPr>
        <w:t xml:space="preserve"> </w:t>
      </w:r>
      <w:r w:rsidRPr="00E041AC">
        <w:rPr>
          <w:rFonts w:ascii="Arial" w:hAnsi="Arial" w:cs="Arial"/>
          <w:b/>
          <w:sz w:val="22"/>
          <w:szCs w:val="22"/>
        </w:rPr>
        <w:t xml:space="preserve">Computer simulations of </w:t>
      </w:r>
      <w:proofErr w:type="spellStart"/>
      <w:r w:rsidRPr="00E041AC">
        <w:rPr>
          <w:rFonts w:ascii="Arial" w:hAnsi="Arial" w:cs="Arial"/>
          <w:b/>
          <w:sz w:val="22"/>
          <w:szCs w:val="22"/>
        </w:rPr>
        <w:t>mCRPC</w:t>
      </w:r>
      <w:proofErr w:type="spellEnd"/>
      <w:r w:rsidRPr="00E041AC">
        <w:rPr>
          <w:rFonts w:ascii="Arial" w:hAnsi="Arial" w:cs="Arial"/>
          <w:b/>
          <w:sz w:val="22"/>
          <w:szCs w:val="22"/>
        </w:rPr>
        <w:t xml:space="preserve"> growth during conventional and adaptive application of abiraterone.</w:t>
      </w:r>
      <w:proofErr w:type="gramEnd"/>
      <w:r w:rsidRPr="000A43C0">
        <w:rPr>
          <w:rFonts w:ascii="Arial" w:hAnsi="Arial" w:cs="Arial"/>
          <w:sz w:val="22"/>
          <w:szCs w:val="22"/>
        </w:rPr>
        <w:t xml:space="preserve">  </w:t>
      </w:r>
      <w:r w:rsidRPr="00E041AC">
        <w:rPr>
          <w:rFonts w:ascii="Arial" w:hAnsi="Arial" w:cs="Arial"/>
          <w:i/>
          <w:sz w:val="22"/>
          <w:szCs w:val="22"/>
        </w:rPr>
        <w:t>Top row</w:t>
      </w:r>
      <w:r w:rsidRPr="000A43C0">
        <w:rPr>
          <w:rFonts w:ascii="Arial" w:hAnsi="Arial" w:cs="Arial"/>
          <w:sz w:val="22"/>
          <w:szCs w:val="22"/>
        </w:rPr>
        <w:t xml:space="preserve">, a strategy </w:t>
      </w:r>
      <w:r>
        <w:rPr>
          <w:rFonts w:ascii="Arial" w:hAnsi="Arial" w:cs="Arial"/>
          <w:sz w:val="22"/>
          <w:szCs w:val="22"/>
        </w:rPr>
        <w:t xml:space="preserve">is </w:t>
      </w:r>
      <w:r w:rsidRPr="000A43C0">
        <w:rPr>
          <w:rFonts w:ascii="Arial" w:hAnsi="Arial" w:cs="Arial"/>
          <w:sz w:val="22"/>
          <w:szCs w:val="22"/>
        </w:rPr>
        <w:t>model</w:t>
      </w:r>
      <w:r>
        <w:rPr>
          <w:rFonts w:ascii="Arial" w:hAnsi="Arial" w:cs="Arial"/>
          <w:sz w:val="22"/>
          <w:szCs w:val="22"/>
        </w:rPr>
        <w:t>ed</w:t>
      </w:r>
      <w:r w:rsidRPr="000A43C0">
        <w:rPr>
          <w:rFonts w:ascii="Arial" w:hAnsi="Arial" w:cs="Arial"/>
          <w:sz w:val="22"/>
          <w:szCs w:val="22"/>
        </w:rPr>
        <w:t xml:space="preserve"> in which therapy-sensitive cells are preserved by withdrawing abiraterone when the PSA reaches 0.5 of its pre-treatment value.  This permits the tumor to regrow but, in the absence of therapy, the sensitive cells are fitter and remain the dominant population. This permits retreatment with abiraterone to maintain tumor cont</w:t>
      </w:r>
      <w:r>
        <w:rPr>
          <w:rFonts w:ascii="Arial" w:hAnsi="Arial" w:cs="Arial"/>
          <w:sz w:val="22"/>
          <w:szCs w:val="22"/>
        </w:rPr>
        <w:t xml:space="preserve">rol over multiple cycles, which can be protracted or relatively fast. </w:t>
      </w:r>
      <w:r w:rsidRPr="000A43C0">
        <w:rPr>
          <w:rFonts w:ascii="Arial" w:hAnsi="Arial" w:cs="Arial"/>
          <w:sz w:val="22"/>
          <w:szCs w:val="22"/>
        </w:rPr>
        <w:t>Model predictions suggest the number of observed</w:t>
      </w:r>
      <w:r>
        <w:rPr>
          <w:rFonts w:ascii="Arial" w:hAnsi="Arial" w:cs="Arial"/>
          <w:sz w:val="22"/>
          <w:szCs w:val="22"/>
        </w:rPr>
        <w:t xml:space="preserve"> cycle will range from 2 to 20 and that </w:t>
      </w:r>
      <w:r w:rsidRPr="000A43C0">
        <w:rPr>
          <w:rFonts w:ascii="Arial" w:hAnsi="Arial" w:cs="Arial"/>
          <w:sz w:val="22"/>
          <w:szCs w:val="22"/>
        </w:rPr>
        <w:t xml:space="preserve">cycle length </w:t>
      </w:r>
      <w:r>
        <w:rPr>
          <w:rFonts w:ascii="Arial" w:hAnsi="Arial" w:cs="Arial"/>
          <w:sz w:val="22"/>
          <w:szCs w:val="22"/>
        </w:rPr>
        <w:t>varies</w:t>
      </w:r>
      <w:r w:rsidRPr="000A43C0">
        <w:rPr>
          <w:rFonts w:ascii="Arial" w:hAnsi="Arial" w:cs="Arial"/>
          <w:sz w:val="22"/>
          <w:szCs w:val="22"/>
        </w:rPr>
        <w:t xml:space="preserve"> depending on initial conditions (</w:t>
      </w:r>
      <w:r w:rsidRPr="00E041AC">
        <w:rPr>
          <w:rFonts w:ascii="Arial" w:hAnsi="Arial" w:cs="Arial"/>
          <w:i/>
          <w:sz w:val="22"/>
          <w:szCs w:val="22"/>
        </w:rPr>
        <w:t>i.e.</w:t>
      </w:r>
      <w:r w:rsidRPr="000A43C0">
        <w:rPr>
          <w:rFonts w:ascii="Arial" w:hAnsi="Arial" w:cs="Arial"/>
          <w:sz w:val="22"/>
          <w:szCs w:val="22"/>
        </w:rPr>
        <w:t xml:space="preserve">, the pretreatment size of the subpopulations) and the relative fitness difference values of each phenotype.  </w:t>
      </w:r>
      <w:r w:rsidRPr="00E041AC">
        <w:rPr>
          <w:rFonts w:ascii="Arial" w:hAnsi="Arial" w:cs="Arial"/>
          <w:i/>
          <w:sz w:val="22"/>
          <w:szCs w:val="22"/>
        </w:rPr>
        <w:t>Bottom row</w:t>
      </w:r>
      <w:r w:rsidRPr="000A43C0">
        <w:rPr>
          <w:rFonts w:ascii="Arial" w:hAnsi="Arial" w:cs="Arial"/>
          <w:sz w:val="22"/>
          <w:szCs w:val="22"/>
        </w:rPr>
        <w:t>, the actual PSA fluctuations in 2 patients with associated abiraterone administration.  Clearly, incorporation of evolutionary dynamics into treatment elicits a wide range of patient-specific outcomes. In one patient, the PSA has not changed following withdrawal of therapy for over 2 years. In the other</w:t>
      </w:r>
      <w:r>
        <w:rPr>
          <w:rFonts w:ascii="Arial" w:hAnsi="Arial" w:cs="Arial"/>
          <w:sz w:val="22"/>
          <w:szCs w:val="22"/>
        </w:rPr>
        <w:t xml:space="preserve">s, </w:t>
      </w:r>
      <w:r w:rsidRPr="000A43C0">
        <w:rPr>
          <w:rFonts w:ascii="Arial" w:hAnsi="Arial" w:cs="Arial"/>
          <w:sz w:val="22"/>
          <w:szCs w:val="22"/>
        </w:rPr>
        <w:t xml:space="preserve">as </w:t>
      </w:r>
      <w:r>
        <w:rPr>
          <w:rFonts w:ascii="Arial" w:hAnsi="Arial" w:cs="Arial"/>
          <w:sz w:val="22"/>
          <w:szCs w:val="22"/>
        </w:rPr>
        <w:t xml:space="preserve">predicted by the model, </w:t>
      </w:r>
      <w:r w:rsidRPr="000A43C0">
        <w:rPr>
          <w:rFonts w:ascii="Arial" w:hAnsi="Arial" w:cs="Arial"/>
          <w:sz w:val="22"/>
          <w:szCs w:val="22"/>
        </w:rPr>
        <w:t>the cycle length varies from about 3 months to over 1 year</w:t>
      </w:r>
      <w:r w:rsidRPr="000A43C0">
        <w:rPr>
          <w:rFonts w:ascii="Arial" w:hAnsi="Arial" w:cs="Arial"/>
          <w:b/>
          <w:sz w:val="22"/>
          <w:szCs w:val="22"/>
        </w:rPr>
        <w:t>.</w:t>
      </w:r>
    </w:p>
    <w:p w:rsidR="003A2DCF" w:rsidRDefault="003A2DCF" w:rsidP="003A2DCF">
      <w:pPr>
        <w:spacing w:line="480" w:lineRule="auto"/>
        <w:rPr>
          <w:rFonts w:ascii="Arial" w:hAnsi="Arial" w:cs="Arial"/>
          <w:b/>
        </w:rPr>
      </w:pPr>
      <w:r w:rsidRPr="004B64A8">
        <w:rPr>
          <w:rFonts w:ascii="Arial" w:hAnsi="Arial" w:cs="Arial"/>
        </w:rPr>
        <w:t xml:space="preserve">In the bottom row, the actual PSA fluctuations in 2 patients with associated abiraterone administration.  Clearly, incorporation of evolutionary dynamics into treatment elicits a wide range of patient-specific outcomes. In one patient, the PSA has not changed following withdrawal of therapy for over 2 years. In the others, </w:t>
      </w:r>
      <w:proofErr w:type="gramStart"/>
      <w:r w:rsidRPr="004B64A8">
        <w:rPr>
          <w:rFonts w:ascii="Arial" w:hAnsi="Arial" w:cs="Arial"/>
        </w:rPr>
        <w:t>cycles  as</w:t>
      </w:r>
      <w:proofErr w:type="gramEnd"/>
      <w:r w:rsidRPr="004B64A8">
        <w:rPr>
          <w:rFonts w:ascii="Arial" w:hAnsi="Arial" w:cs="Arial"/>
        </w:rPr>
        <w:t xml:space="preserve"> predicted by the model are observed but the cycle length varies from about 3 months to over 1 year</w:t>
      </w:r>
      <w:r w:rsidRPr="00644843">
        <w:rPr>
          <w:rFonts w:ascii="Arial" w:hAnsi="Arial" w:cs="Arial"/>
          <w:b/>
        </w:rPr>
        <w:t>.</w:t>
      </w:r>
    </w:p>
    <w:p w:rsidR="003A2DCF" w:rsidRDefault="003A2DCF" w:rsidP="003A2DCF">
      <w:pPr>
        <w:spacing w:line="480" w:lineRule="auto"/>
        <w:rPr>
          <w:rFonts w:ascii="Arial" w:hAnsi="Arial" w:cs="Arial"/>
          <w:b/>
        </w:rPr>
      </w:pPr>
    </w:p>
    <w:p w:rsidR="003A2DCF" w:rsidRDefault="003A2DCF" w:rsidP="003A2DCF">
      <w:pPr>
        <w:spacing w:line="480" w:lineRule="auto"/>
        <w:rPr>
          <w:rFonts w:ascii="Arial" w:hAnsi="Arial" w:cs="Arial"/>
          <w:b/>
        </w:rPr>
      </w:pPr>
      <w:r>
        <w:rPr>
          <w:rFonts w:ascii="Minion Pro" w:hAnsi="Minion Pro" w:cs="Times New Roman"/>
          <w:b/>
          <w:noProof/>
          <w:sz w:val="22"/>
          <w:szCs w:val="22"/>
        </w:rPr>
        <w:drawing>
          <wp:inline distT="0" distB="0" distL="0" distR="0" wp14:anchorId="38188D99" wp14:editId="20FD07FE">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tpwww.apple.tif"/>
                    <pic:cNvPicPr/>
                  </pic:nvPicPr>
                  <pic:blipFill rotWithShape="1">
                    <a:blip r:embed="rId8">
                      <a:extLst>
                        <a:ext uri="{28A0092B-C50C-407E-A947-70E740481C1C}">
                          <a14:useLocalDpi xmlns:a14="http://schemas.microsoft.com/office/drawing/2010/main" val="0"/>
                        </a:ext>
                      </a:extLst>
                    </a:blip>
                    <a:srcRect l="1923" t="5129" r="22116" b="4843"/>
                    <a:stretch/>
                  </pic:blipFill>
                  <pic:spPr bwMode="auto">
                    <a:xfrm>
                      <a:off x="0" y="0"/>
                      <a:ext cx="5486400" cy="3657600"/>
                    </a:xfrm>
                    <a:prstGeom prst="rect">
                      <a:avLst/>
                    </a:prstGeom>
                    <a:ln>
                      <a:noFill/>
                    </a:ln>
                    <a:extLst>
                      <a:ext uri="{53640926-AAD7-44d8-BBD7-CCE9431645EC}">
                        <a14:shadowObscured xmlns:a14="http://schemas.microsoft.com/office/drawing/2010/main"/>
                      </a:ext>
                    </a:extLst>
                  </pic:spPr>
                </pic:pic>
              </a:graphicData>
            </a:graphic>
          </wp:inline>
        </w:drawing>
      </w:r>
    </w:p>
    <w:p w:rsidR="003A2DCF" w:rsidRPr="00E041AC" w:rsidRDefault="003A2DCF" w:rsidP="003A2DCF">
      <w:pPr>
        <w:spacing w:line="480" w:lineRule="auto"/>
        <w:rPr>
          <w:rFonts w:ascii="Minion Pro" w:hAnsi="Minion Pro" w:cs="Times New Roman"/>
          <w:b/>
          <w:i/>
          <w:sz w:val="22"/>
          <w:szCs w:val="22"/>
        </w:rPr>
      </w:pPr>
      <w:r w:rsidRPr="00E041AC">
        <w:rPr>
          <w:rFonts w:ascii="Arial" w:hAnsi="Arial" w:cs="Arial"/>
          <w:b/>
          <w:sz w:val="22"/>
          <w:szCs w:val="22"/>
        </w:rPr>
        <w:t xml:space="preserve">Figure 3 | TP and T+ cells </w:t>
      </w:r>
      <w:r>
        <w:rPr>
          <w:rFonts w:ascii="Arial" w:hAnsi="Arial" w:cs="Arial"/>
          <w:b/>
          <w:sz w:val="22"/>
          <w:szCs w:val="22"/>
        </w:rPr>
        <w:t xml:space="preserve">are manifest in </w:t>
      </w:r>
      <w:proofErr w:type="spellStart"/>
      <w:r>
        <w:rPr>
          <w:rFonts w:ascii="Arial" w:hAnsi="Arial" w:cs="Arial"/>
          <w:b/>
          <w:sz w:val="22"/>
          <w:szCs w:val="22"/>
        </w:rPr>
        <w:t>mCRPC</w:t>
      </w:r>
      <w:proofErr w:type="spellEnd"/>
      <w:r w:rsidRPr="00E041AC">
        <w:rPr>
          <w:rFonts w:ascii="Arial" w:hAnsi="Arial" w:cs="Arial"/>
          <w:b/>
          <w:sz w:val="22"/>
          <w:szCs w:val="22"/>
        </w:rPr>
        <w:t xml:space="preserve"> prior to initiating ADT</w:t>
      </w:r>
      <w:r>
        <w:rPr>
          <w:rFonts w:ascii="Arial" w:hAnsi="Arial" w:cs="Arial"/>
          <w:sz w:val="22"/>
          <w:szCs w:val="22"/>
        </w:rPr>
        <w:t xml:space="preserve">. </w:t>
      </w:r>
      <w:proofErr w:type="spellStart"/>
      <w:proofErr w:type="gramStart"/>
      <w:r w:rsidRPr="00E041AC">
        <w:rPr>
          <w:rFonts w:ascii="Arial" w:hAnsi="Arial" w:cs="Arial"/>
          <w:sz w:val="22"/>
          <w:szCs w:val="22"/>
        </w:rPr>
        <w:t>Immunohistochemical</w:t>
      </w:r>
      <w:proofErr w:type="spellEnd"/>
      <w:r w:rsidRPr="00E041AC">
        <w:rPr>
          <w:rFonts w:ascii="Arial" w:hAnsi="Arial" w:cs="Arial"/>
          <w:sz w:val="22"/>
          <w:szCs w:val="22"/>
        </w:rPr>
        <w:t xml:space="preserve"> analyses of androgen receptor (AR, </w:t>
      </w:r>
      <w:r w:rsidRPr="0079253B">
        <w:rPr>
          <w:rFonts w:ascii="Arial" w:hAnsi="Arial" w:cs="Arial"/>
          <w:i/>
          <w:sz w:val="22"/>
          <w:szCs w:val="22"/>
        </w:rPr>
        <w:t>top panels</w:t>
      </w:r>
      <w:r w:rsidRPr="00E041AC">
        <w:rPr>
          <w:rFonts w:ascii="Arial" w:hAnsi="Arial" w:cs="Arial"/>
          <w:sz w:val="22"/>
          <w:szCs w:val="22"/>
        </w:rPr>
        <w:t>) and CYP17A1 (</w:t>
      </w:r>
      <w:r w:rsidRPr="0079253B">
        <w:rPr>
          <w:rFonts w:ascii="Arial" w:hAnsi="Arial" w:cs="Arial"/>
          <w:i/>
          <w:sz w:val="22"/>
          <w:szCs w:val="22"/>
        </w:rPr>
        <w:t>bottom panel</w:t>
      </w:r>
      <w:r w:rsidRPr="00E041AC">
        <w:rPr>
          <w:rFonts w:ascii="Arial" w:hAnsi="Arial" w:cs="Arial"/>
          <w:sz w:val="22"/>
          <w:szCs w:val="22"/>
        </w:rPr>
        <w:t>) expression in primary radical prostatectomy sample (</w:t>
      </w:r>
      <w:r w:rsidRPr="0079253B">
        <w:rPr>
          <w:rFonts w:ascii="Arial" w:hAnsi="Arial" w:cs="Arial"/>
          <w:i/>
          <w:sz w:val="22"/>
          <w:szCs w:val="22"/>
        </w:rPr>
        <w:t>left panels</w:t>
      </w:r>
      <w:r>
        <w:rPr>
          <w:rFonts w:ascii="Arial" w:hAnsi="Arial" w:cs="Arial"/>
          <w:sz w:val="22"/>
          <w:szCs w:val="22"/>
        </w:rPr>
        <w:t>) and lymph node</w:t>
      </w:r>
      <w:r w:rsidRPr="00E041AC">
        <w:rPr>
          <w:rFonts w:ascii="Arial" w:hAnsi="Arial" w:cs="Arial"/>
          <w:sz w:val="22"/>
          <w:szCs w:val="22"/>
        </w:rPr>
        <w:t xml:space="preserve"> biopsy</w:t>
      </w:r>
      <w:r>
        <w:rPr>
          <w:rFonts w:ascii="Arial" w:hAnsi="Arial" w:cs="Arial"/>
          <w:sz w:val="22"/>
          <w:szCs w:val="22"/>
        </w:rPr>
        <w:t xml:space="preserve"> (</w:t>
      </w:r>
      <w:r w:rsidRPr="0079253B">
        <w:rPr>
          <w:rFonts w:ascii="Arial" w:hAnsi="Arial" w:cs="Arial"/>
          <w:i/>
          <w:sz w:val="22"/>
          <w:szCs w:val="22"/>
        </w:rPr>
        <w:t>right panels</w:t>
      </w:r>
      <w:r>
        <w:rPr>
          <w:rFonts w:ascii="Arial" w:hAnsi="Arial" w:cs="Arial"/>
          <w:sz w:val="22"/>
          <w:szCs w:val="22"/>
        </w:rPr>
        <w:t xml:space="preserve">) </w:t>
      </w:r>
      <w:r w:rsidRPr="00E041AC">
        <w:rPr>
          <w:rFonts w:ascii="Arial" w:hAnsi="Arial" w:cs="Arial"/>
          <w:sz w:val="22"/>
          <w:szCs w:val="22"/>
        </w:rPr>
        <w:t>from subject 1001 in the current clinical trial.</w:t>
      </w:r>
      <w:proofErr w:type="gramEnd"/>
      <w:r w:rsidRPr="00E041AC">
        <w:rPr>
          <w:rFonts w:ascii="Arial" w:hAnsi="Arial" w:cs="Arial"/>
          <w:sz w:val="22"/>
          <w:szCs w:val="22"/>
        </w:rPr>
        <w:t xml:space="preserve"> TP cells have positive nuclear staining for AR (brown top panels) and positive cytoplasmic and m</w:t>
      </w:r>
      <w:r>
        <w:rPr>
          <w:rFonts w:ascii="Arial" w:hAnsi="Arial" w:cs="Arial"/>
          <w:sz w:val="22"/>
          <w:szCs w:val="22"/>
        </w:rPr>
        <w:t>embrane staining for CYP17A1. T+</w:t>
      </w:r>
      <w:r w:rsidRPr="00E041AC">
        <w:rPr>
          <w:rFonts w:ascii="Arial" w:hAnsi="Arial" w:cs="Arial"/>
          <w:sz w:val="22"/>
          <w:szCs w:val="22"/>
        </w:rPr>
        <w:t xml:space="preserve"> cells have only positive AR staining. T- cells (negative for both AR and CYP17A1) were detected in the lymph node biopsy.</w:t>
      </w:r>
    </w:p>
    <w:p w:rsidR="003A2DCF" w:rsidRDefault="003A2DCF"/>
    <w:p w:rsidR="003A2DCF" w:rsidRDefault="003A2DCF">
      <w:r>
        <w:rPr>
          <w:noProof/>
        </w:rPr>
        <w:drawing>
          <wp:inline distT="0" distB="0" distL="0" distR="0">
            <wp:extent cx="5486400" cy="3112770"/>
            <wp:effectExtent l="0" t="0" r="0" b="11430"/>
            <wp:docPr id="4" name="Picture 4" descr="Macintosh HD:Users:cunningham:Dropbox:ProstateCancerModel:CurrentCode:PSAManuscriptFigures:FinalFigures_Version2:Figure4_Swimmer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unningham:Dropbox:ProstateCancerModel:CurrentCode:PSAManuscriptFigures:FinalFigures_Version2:Figure4_Swimmers.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12770"/>
                    </a:xfrm>
                    <a:prstGeom prst="rect">
                      <a:avLst/>
                    </a:prstGeom>
                    <a:noFill/>
                    <a:ln>
                      <a:noFill/>
                    </a:ln>
                  </pic:spPr>
                </pic:pic>
              </a:graphicData>
            </a:graphic>
          </wp:inline>
        </w:drawing>
      </w:r>
    </w:p>
    <w:p w:rsidR="003A2DCF" w:rsidRDefault="003A2DCF"/>
    <w:p w:rsidR="003A2DCF" w:rsidRPr="0079253B" w:rsidRDefault="003A2DCF" w:rsidP="003A2DCF">
      <w:pPr>
        <w:spacing w:line="480" w:lineRule="auto"/>
        <w:rPr>
          <w:rFonts w:ascii="Minion Pro" w:hAnsi="Minion Pro" w:cs="Times New Roman"/>
          <w:b/>
          <w:i/>
          <w:sz w:val="22"/>
          <w:szCs w:val="22"/>
        </w:rPr>
      </w:pPr>
      <w:proofErr w:type="gramStart"/>
      <w:r w:rsidRPr="0079253B">
        <w:rPr>
          <w:rFonts w:ascii="Minion Pro" w:hAnsi="Minion Pro" w:cs="Times New Roman"/>
          <w:b/>
          <w:sz w:val="22"/>
          <w:szCs w:val="22"/>
        </w:rPr>
        <w:t>Figure 4</w:t>
      </w:r>
      <w:r>
        <w:rPr>
          <w:rFonts w:ascii="Minion Pro" w:hAnsi="Minion Pro" w:cs="Times New Roman"/>
          <w:b/>
          <w:sz w:val="22"/>
          <w:szCs w:val="22"/>
        </w:rPr>
        <w:t xml:space="preserve"> |</w:t>
      </w:r>
      <w:r w:rsidRPr="0079253B">
        <w:rPr>
          <w:rFonts w:ascii="Minion Pro" w:hAnsi="Minion Pro"/>
          <w:b/>
          <w:sz w:val="22"/>
          <w:szCs w:val="22"/>
        </w:rPr>
        <w:t xml:space="preserve"> </w:t>
      </w:r>
      <w:r w:rsidRPr="0079253B">
        <w:rPr>
          <w:rFonts w:ascii="Minion Pro" w:hAnsi="Minion Pro" w:cs="Arial"/>
          <w:b/>
          <w:sz w:val="22"/>
          <w:szCs w:val="22"/>
        </w:rPr>
        <w:t xml:space="preserve">Status of the first 10 patients in the </w:t>
      </w:r>
      <w:proofErr w:type="spellStart"/>
      <w:r w:rsidRPr="0079253B">
        <w:rPr>
          <w:rFonts w:ascii="Minion Pro" w:hAnsi="Minion Pro" w:cs="Arial"/>
          <w:b/>
          <w:sz w:val="22"/>
          <w:szCs w:val="22"/>
        </w:rPr>
        <w:t>mCRPC</w:t>
      </w:r>
      <w:proofErr w:type="spellEnd"/>
      <w:r w:rsidRPr="0079253B">
        <w:rPr>
          <w:rFonts w:ascii="Minion Pro" w:hAnsi="Minion Pro" w:cs="Arial"/>
          <w:b/>
          <w:sz w:val="22"/>
          <w:szCs w:val="22"/>
        </w:rPr>
        <w:t xml:space="preserve"> adaptive therapy trial.</w:t>
      </w:r>
      <w:proofErr w:type="gramEnd"/>
      <w:r w:rsidRPr="0079253B">
        <w:rPr>
          <w:rFonts w:ascii="Minion Pro" w:hAnsi="Minion Pro" w:cs="Arial"/>
          <w:sz w:val="22"/>
          <w:szCs w:val="22"/>
        </w:rPr>
        <w:t xml:space="preserve">  Black in the bar indicates time during which abiraterone was </w:t>
      </w:r>
      <w:r>
        <w:rPr>
          <w:rFonts w:ascii="Minion Pro" w:hAnsi="Minion Pro" w:cs="Arial"/>
          <w:sz w:val="22"/>
          <w:szCs w:val="22"/>
        </w:rPr>
        <w:t>withheld and r</w:t>
      </w:r>
      <w:r w:rsidRPr="0079253B">
        <w:rPr>
          <w:rFonts w:ascii="Minion Pro" w:hAnsi="Minion Pro" w:cs="Arial"/>
          <w:sz w:val="22"/>
          <w:szCs w:val="22"/>
        </w:rPr>
        <w:t>ed is time during which therapy was administered. 9 of the patients remain on study with controlled tumor. Mean follow up time is 15.6 months. Mean progression free survival has not been reached but already exceeds the best reported PFS (11.1 months). Because of the adaptive application of treatment, the mean cumulative dose for the cohort is only 40% of standard of care.</w:t>
      </w:r>
    </w:p>
    <w:p w:rsidR="003A2DCF" w:rsidRDefault="003A2DCF"/>
    <w:sectPr w:rsidR="003A2DCF" w:rsidSect="00147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altName w:val="Times New Roman"/>
    <w:panose1 w:val="020B0600040502020204"/>
    <w:charset w:val="00"/>
    <w:family w:val="auto"/>
    <w:pitch w:val="variable"/>
    <w:sig w:usb0="E1000AEF" w:usb1="5000A1FF" w:usb2="00000000" w:usb3="00000000" w:csb0="000001BF" w:csb1="00000000"/>
  </w:font>
  <w:font w:name="Minion Pro">
    <w:altName w:val="Cambria Math"/>
    <w:charset w:val="00"/>
    <w:family w:val="auto"/>
    <w:pitch w:val="variable"/>
    <w:sig w:usb0="00000001" w:usb1="00000001"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DCF"/>
    <w:rsid w:val="00147616"/>
    <w:rsid w:val="003A2D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A6B3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2D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2DC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2D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2DC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tif"/><Relationship Id="rId9" Type="http://schemas.openxmlformats.org/officeDocument/2006/relationships/image" Target="media/image5.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615</Words>
  <Characters>3511</Characters>
  <Application>Microsoft Macintosh Word</Application>
  <DocSecurity>0</DocSecurity>
  <Lines>29</Lines>
  <Paragraphs>8</Paragraphs>
  <ScaleCrop>false</ScaleCrop>
  <Company>Moffitt</Company>
  <LinksUpToDate>false</LinksUpToDate>
  <CharactersWithSpaces>4118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Cunningham</dc:creator>
  <cp:keywords/>
  <dc:description/>
  <cp:lastModifiedBy>Jessica Cunningham</cp:lastModifiedBy>
  <cp:revision>1</cp:revision>
  <dcterms:created xsi:type="dcterms:W3CDTF">2016-10-04T04:18:00Z</dcterms:created>
  <dcterms:modified xsi:type="dcterms:W3CDTF">2016-10-04T04:24:00Z</dcterms:modified>
</cp:coreProperties>
</file>