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color w:val="1A3D6E"/>
          <w:sz w:val="52"/>
        </w:rPr>
        <w:t>INFORME DE SEGURIDAD</w:t>
      </w:r>
    </w:p>
    <w:p>
      <w:pPr>
        <w:jc w:val="center"/>
      </w:pPr>
      <w:r>
        <w:rPr>
          <w:rFonts w:ascii="Calibri" w:hAnsi="Calibri"/>
          <w:color w:val="2E6DA4"/>
          <w:sz w:val="36"/>
        </w:rPr>
        <w:t>WorkTimeAsistem PRODE</w:t>
      </w:r>
    </w:p>
    <w:p>
      <w:pPr>
        <w:jc w:val="center"/>
      </w:pPr>
      <w:r>
        <w:rPr>
          <w:rFonts w:ascii="Calibri" w:hAnsi="Calibri"/>
          <w:color w:val="555555"/>
          <w:sz w:val="26"/>
        </w:rPr>
        <w:t>Aplicación Interna de Control Horario</w:t>
      </w:r>
    </w:p>
    <w:p/>
    <w:p/>
    <w:p>
      <w:pPr>
        <w:jc w:val="center"/>
      </w:pPr>
      <w:r>
        <w:rPr>
          <w:rFonts w:ascii="Calibri" w:hAnsi="Calibri"/>
          <w:color w:val="777777"/>
          <w:sz w:val="22"/>
        </w:rPr>
        <w:t>Fecha de emisión: 03/03/2026</w:t>
      </w:r>
    </w:p>
    <w:p>
      <w:pPr>
        <w:jc w:val="center"/>
      </w:pPr>
      <w:r>
        <w:rPr>
          <w:rFonts w:ascii="Calibri" w:hAnsi="Calibri"/>
          <w:color w:val="777777"/>
          <w:sz w:val="22"/>
        </w:rPr>
        <w:t>Elaborado por: Daniel Gilabert Cantero  ·  Fundación PRODE</w:t>
      </w:r>
    </w:p>
    <w:p>
      <w:r>
        <w:br w:type="page"/>
      </w:r>
    </w:p>
    <w:p>
      <w:pPr>
        <w:pStyle w:val="Heading1"/>
        <w:jc w:val="left"/>
      </w:pPr>
      <w:r>
        <w:rPr>
          <w:color w:val="1A3D6E"/>
        </w:rPr>
        <w:t>1. Descripción de la aplicación</w:t>
      </w:r>
    </w:p>
    <w:p>
      <w:pPr>
        <w:spacing w:after="120"/>
      </w:pPr>
      <w:r>
        <w:rPr>
          <w:rFonts w:ascii="Calibri" w:hAnsi="Calibri"/>
          <w:sz w:val="22"/>
        </w:rPr>
        <w:t>WorkTimeAsistem PRODE es una aplicación web interna desarrollada con Python (Streamlit) y base de datos PostgreSQL alojada en Supabase. Su función principal es el análisis de fichajes mensuales exportados en Excel, el cálculo del cumplimiento horario por empleado y la generación de informes institucionales en formato PDF y Excel.</w:t>
      </w:r>
    </w:p>
    <w:p>
      <w:pPr>
        <w:spacing w:after="120"/>
      </w:pPr>
      <w:r>
        <w:rPr>
          <w:rFonts w:ascii="Calibri" w:hAnsi="Calibri"/>
          <w:sz w:val="22"/>
        </w:rPr>
        <w:t>El acceso a la aplicación está restringido al personal autorizado de la Fundación PRODE y opera bajo un modelo de roles que determina qué información puede ver y gestionar cada usuario.</w:t>
      </w:r>
    </w:p>
    <w:p/>
    <w:p>
      <w:pPr>
        <w:pStyle w:val="Heading1"/>
        <w:jc w:val="left"/>
      </w:pPr>
      <w:r>
        <w:rPr>
          <w:color w:val="1A3D6E"/>
        </w:rPr>
        <w:t>2. Control de acceso y autenticación</w:t>
      </w:r>
    </w:p>
    <w:p>
      <w:pPr>
        <w:spacing w:after="120"/>
      </w:pPr>
      <w:r>
        <w:rPr>
          <w:rFonts w:ascii="Calibri" w:hAnsi="Calibri"/>
          <w:sz w:val="22"/>
        </w:rPr>
        <w:t>El sistema aplica un proceso de autenticación en tres capas secuenciales. El acceso es denegado si cualquiera de ellas no se supera:</w:t>
      </w:r>
    </w:p>
    <w:tbl>
      <w:tblPr>
        <w:tblStyle w:val="TableGrid"/>
        <w:tblW w:type="auto" w:w="0"/>
        <w:jc w:val="center"/>
        <w:tblLook w:firstColumn="1" w:firstRow="1" w:lastColumn="0" w:lastRow="0" w:noHBand="0" w:noVBand="1" w:val="04A0"/>
      </w:tblPr>
      <w:tblGrid>
        <w:gridCol w:w="3041"/>
        <w:gridCol w:w="3041"/>
        <w:gridCol w:w="3041"/>
      </w:tblGrid>
      <w:tr>
        <w:tc>
          <w:tcPr>
            <w:tcW w:type="dxa" w:w="680"/>
            <w:shd w:val="clear" w:color="auto" w:fill="1a3d6e"/>
          </w:tcPr>
          <w:p>
            <w:pPr>
              <w:jc w:val="center"/>
            </w:pPr>
            <w:r>
              <w:rPr>
                <w:rFonts w:ascii="Calibri" w:hAnsi="Calibri"/>
                <w:b/>
                <w:color w:val="FFFFFF"/>
                <w:sz w:val="20"/>
              </w:rPr>
              <w:t>Capa</w:t>
            </w:r>
          </w:p>
        </w:tc>
        <w:tc>
          <w:tcPr>
            <w:tcW w:type="dxa" w:w="3118"/>
            <w:shd w:val="clear" w:color="auto" w:fill="1a3d6e"/>
          </w:tcPr>
          <w:p>
            <w:pPr>
              <w:jc w:val="center"/>
            </w:pPr>
            <w:r>
              <w:rPr>
                <w:rFonts w:ascii="Calibri" w:hAnsi="Calibri"/>
                <w:b/>
                <w:color w:val="FFFFFF"/>
                <w:sz w:val="20"/>
              </w:rPr>
              <w:t>Comprobación</w:t>
            </w:r>
          </w:p>
        </w:tc>
        <w:tc>
          <w:tcPr>
            <w:tcW w:type="dxa" w:w="4819"/>
            <w:shd w:val="clear" w:color="auto" w:fill="1a3d6e"/>
          </w:tcPr>
          <w:p>
            <w:pPr>
              <w:jc w:val="center"/>
            </w:pPr>
            <w:r>
              <w:rPr>
                <w:rFonts w:ascii="Calibri" w:hAnsi="Calibri"/>
                <w:b/>
                <w:color w:val="FFFFFF"/>
                <w:sz w:val="20"/>
              </w:rPr>
              <w:t>Resultado si falla</w:t>
            </w:r>
          </w:p>
        </w:tc>
      </w:tr>
      <w:tr>
        <w:tc>
          <w:tcPr>
            <w:tcW w:type="dxa" w:w="3041"/>
            <w:shd w:val="clear" w:color="auto" w:fill="f0f4f8"/>
          </w:tcPr>
          <w:p>
            <w:pPr>
              <w:jc w:val="center"/>
            </w:pPr>
            <w:r>
              <w:rPr>
                <w:rFonts w:ascii="Calibri" w:hAnsi="Calibri"/>
                <w:b/>
                <w:color w:val="1A3D6E"/>
                <w:sz w:val="20"/>
              </w:rPr>
              <w:t>1</w:t>
            </w:r>
          </w:p>
        </w:tc>
        <w:tc>
          <w:tcPr>
            <w:tcW w:type="dxa" w:w="3041"/>
            <w:shd w:val="clear" w:color="auto" w:fill="f0f4f8"/>
          </w:tcPr>
          <w:p>
            <w:r>
              <w:rPr>
                <w:rFonts w:ascii="Calibri" w:hAnsi="Calibri"/>
                <w:sz w:val="20"/>
              </w:rPr>
              <w:t>Dominio corporativo @prode.es obligatorio</w:t>
            </w:r>
          </w:p>
        </w:tc>
        <w:tc>
          <w:tcPr>
            <w:tcW w:type="dxa" w:w="3041"/>
            <w:shd w:val="clear" w:color="auto" w:fill="f0f4f8"/>
          </w:tcPr>
          <w:p>
            <w:r>
              <w:rPr>
                <w:rFonts w:ascii="Calibri" w:hAnsi="Calibri"/>
                <w:sz w:val="20"/>
              </w:rPr>
              <w:t>Bloqueado — registrado en auditoría</w:t>
            </w:r>
          </w:p>
        </w:tc>
      </w:tr>
      <w:tr>
        <w:tc>
          <w:tcPr>
            <w:tcW w:type="dxa" w:w="3041"/>
            <w:shd w:val="clear" w:color="auto" w:fill="ffffff"/>
          </w:tcPr>
          <w:p>
            <w:pPr>
              <w:jc w:val="center"/>
            </w:pPr>
            <w:r>
              <w:rPr>
                <w:rFonts w:ascii="Calibri" w:hAnsi="Calibri"/>
                <w:b/>
                <w:color w:val="1A3D6E"/>
                <w:sz w:val="20"/>
              </w:rPr>
              <w:t>2</w:t>
            </w:r>
          </w:p>
        </w:tc>
        <w:tc>
          <w:tcPr>
            <w:tcW w:type="dxa" w:w="3041"/>
            <w:shd w:val="clear" w:color="auto" w:fill="ffffff"/>
          </w:tcPr>
          <w:p>
            <w:r>
              <w:rPr>
                <w:rFonts w:ascii="Calibri" w:hAnsi="Calibri"/>
                <w:sz w:val="20"/>
              </w:rPr>
              <w:t>El correo debe existir en la tabla empleados de Supabase</w:t>
            </w:r>
          </w:p>
        </w:tc>
        <w:tc>
          <w:tcPr>
            <w:tcW w:type="dxa" w:w="3041"/>
            <w:shd w:val="clear" w:color="auto" w:fill="ffffff"/>
          </w:tcPr>
          <w:p>
            <w:r>
              <w:rPr>
                <w:rFonts w:ascii="Calibri" w:hAnsi="Calibri"/>
                <w:sz w:val="20"/>
              </w:rPr>
              <w:t>Denegado — registrado en auditoría</w:t>
            </w:r>
          </w:p>
        </w:tc>
      </w:tr>
      <w:tr>
        <w:tc>
          <w:tcPr>
            <w:tcW w:type="dxa" w:w="3041"/>
            <w:shd w:val="clear" w:color="auto" w:fill="f0f4f8"/>
          </w:tcPr>
          <w:p>
            <w:pPr>
              <w:jc w:val="center"/>
            </w:pPr>
            <w:r>
              <w:rPr>
                <w:rFonts w:ascii="Calibri" w:hAnsi="Calibri"/>
                <w:b/>
                <w:color w:val="1A3D6E"/>
                <w:sz w:val="20"/>
              </w:rPr>
              <w:t>3</w:t>
            </w:r>
          </w:p>
        </w:tc>
        <w:tc>
          <w:tcPr>
            <w:tcW w:type="dxa" w:w="3041"/>
            <w:shd w:val="clear" w:color="auto" w:fill="f0f4f8"/>
          </w:tcPr>
          <w:p>
            <w:r>
              <w:rPr>
                <w:rFonts w:ascii="Calibri" w:hAnsi="Calibri"/>
                <w:sz w:val="20"/>
              </w:rPr>
              <w:t>El empleado debe tener rol es_responsable=true o es_admin=true</w:t>
            </w:r>
          </w:p>
        </w:tc>
        <w:tc>
          <w:tcPr>
            <w:tcW w:type="dxa" w:w="3041"/>
            <w:shd w:val="clear" w:color="auto" w:fill="f0f4f8"/>
          </w:tcPr>
          <w:p>
            <w:r>
              <w:rPr>
                <w:rFonts w:ascii="Calibri" w:hAnsi="Calibri"/>
                <w:sz w:val="20"/>
              </w:rPr>
              <w:t>Denegado — registrado en auditoría</w:t>
            </w:r>
          </w:p>
        </w:tc>
      </w:tr>
    </w:tbl>
    <w:p/>
    <w:p>
      <w:pPr>
        <w:spacing w:after="120"/>
      </w:pPr>
      <w:r>
        <w:rPr>
          <w:rFonts w:ascii="Calibri" w:hAnsi="Calibri"/>
          <w:sz w:val="22"/>
        </w:rPr>
        <w:t>Ningún usuario con correo externo a @prode.es puede intentar el acceso, independientemente de que conozca la URL de la aplicación. Esta restricción es la primera barrera y se aplica antes de realizar ninguna consulta a la base de datos.</w:t>
      </w:r>
    </w:p>
    <w:p/>
    <w:p>
      <w:pPr>
        <w:pStyle w:val="Heading1"/>
        <w:jc w:val="left"/>
      </w:pPr>
      <w:r>
        <w:rPr>
          <w:color w:val="1A3D6E"/>
        </w:rPr>
        <w:t>3. Modelo de roles y permisos</w:t>
      </w:r>
    </w:p>
    <w:p>
      <w:pPr>
        <w:spacing w:after="120"/>
      </w:pPr>
      <w:r>
        <w:rPr>
          <w:rFonts w:ascii="Calibri" w:hAnsi="Calibri"/>
          <w:sz w:val="22"/>
        </w:rPr>
        <w:t>La aplicación define dos roles con permisos diferenciados: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2e6da4"/>
          </w:tcPr>
          <w:p>
            <w:r>
              <w:rPr>
                <w:rFonts w:ascii="Calibri" w:hAnsi="Calibri"/>
                <w:b/>
                <w:color w:val="FFFFFF"/>
                <w:sz w:val="20"/>
              </w:rPr>
              <w:t>Rol</w:t>
            </w:r>
          </w:p>
        </w:tc>
        <w:tc>
          <w:tcPr>
            <w:tcW w:type="dxa" w:w="3041"/>
            <w:shd w:val="clear" w:color="auto" w:fill="2e6da4"/>
          </w:tcPr>
          <w:p>
            <w:r>
              <w:rPr>
                <w:rFonts w:ascii="Calibri" w:hAnsi="Calibri"/>
                <w:b/>
                <w:color w:val="FFFFFF"/>
                <w:sz w:val="20"/>
              </w:rPr>
              <w:t>Acceso</w:t>
            </w:r>
          </w:p>
        </w:tc>
        <w:tc>
          <w:tcPr>
            <w:tcW w:type="dxa" w:w="3041"/>
            <w:shd w:val="clear" w:color="auto" w:fill="2e6da4"/>
          </w:tcPr>
          <w:p>
            <w:r>
              <w:rPr>
                <w:rFonts w:ascii="Calibri" w:hAnsi="Calibri"/>
                <w:b/>
                <w:color w:val="FFFFFF"/>
                <w:sz w:val="20"/>
              </w:rPr>
              <w:t>Permisos</w:t>
            </w:r>
          </w:p>
        </w:tc>
      </w:tr>
      <w:tr>
        <w:tc>
          <w:tcPr>
            <w:tcW w:type="dxa" w:w="3041"/>
            <w:shd w:val="clear" w:color="auto" w:fill="f0f4f8"/>
          </w:tcPr>
          <w:p>
            <w:r>
              <w:rPr>
                <w:rFonts w:ascii="Calibri" w:hAnsi="Calibri"/>
                <w:b/>
                <w:color w:val="1A3D6E"/>
                <w:sz w:val="20"/>
              </w:rPr>
              <w:t>Responsable</w:t>
            </w:r>
          </w:p>
        </w:tc>
        <w:tc>
          <w:tcPr>
            <w:tcW w:type="dxa" w:w="3041"/>
            <w:shd w:val="clear" w:color="auto" w:fill="f0f4f8"/>
          </w:tcPr>
          <w:p>
            <w:r>
              <w:rPr>
                <w:rFonts w:ascii="Calibri" w:hAnsi="Calibri"/>
                <w:sz w:val="20"/>
              </w:rPr>
              <w:t>Sus empleados asignados</w:t>
            </w:r>
          </w:p>
        </w:tc>
        <w:tc>
          <w:tcPr>
            <w:tcW w:type="dxa" w:w="3041"/>
            <w:shd w:val="clear" w:color="auto" w:fill="f0f4f8"/>
          </w:tcPr>
          <w:p>
            <w:r>
              <w:rPr>
                <w:rFonts w:ascii="Calibri" w:hAnsi="Calibri"/>
                <w:sz w:val="20"/>
              </w:rPr>
              <w:t>Ver resumen mensual, gestionar festivos e incidencias de su grupo, descargar informes individuales y globales de su grupo</w:t>
            </w:r>
          </w:p>
        </w:tc>
      </w:tr>
      <w:tr>
        <w:tc>
          <w:tcPr>
            <w:tcW w:type="dxa" w:w="3041"/>
            <w:shd w:val="clear" w:color="auto" w:fill="ffffff"/>
          </w:tcPr>
          <w:p>
            <w:r>
              <w:rPr>
                <w:rFonts w:ascii="Calibri" w:hAnsi="Calibri"/>
                <w:b/>
                <w:color w:val="1A3D6E"/>
                <w:sz w:val="20"/>
              </w:rPr>
              <w:t>Administrador</w:t>
            </w:r>
          </w:p>
        </w:tc>
        <w:tc>
          <w:tcPr>
            <w:tcW w:type="dxa" w:w="3041"/>
            <w:shd w:val="clear" w:color="auto" w:fill="ffffff"/>
          </w:tcPr>
          <w:p>
            <w:r>
              <w:rPr>
                <w:rFonts w:ascii="Calibri" w:hAnsi="Calibri"/>
                <w:sz w:val="20"/>
              </w:rPr>
              <w:t>Todos los empleados de la organización</w:t>
            </w:r>
          </w:p>
        </w:tc>
        <w:tc>
          <w:tcPr>
            <w:tcW w:type="dxa" w:w="3041"/>
            <w:shd w:val="clear" w:color="auto" w:fill="ffffff"/>
          </w:tcPr>
          <w:p>
            <w:r>
              <w:rPr>
                <w:rFonts w:ascii="Calibri" w:hAnsi="Calibri"/>
                <w:sz w:val="20"/>
              </w:rPr>
              <w:t>Todo lo anterior más: panel global por responsable, histórico completo, registro de auditoría (solo danielgilabert@prode.es)</w:t>
            </w:r>
          </w:p>
        </w:tc>
      </w:tr>
    </w:tbl>
    <w:p/>
    <w:p>
      <w:pPr>
        <w:pStyle w:val="Heading1"/>
        <w:jc w:val="left"/>
      </w:pPr>
      <w:r>
        <w:rPr>
          <w:color w:val="1A3D6E"/>
        </w:rPr>
        <w:t>4. Seguridad en base de datos (Supabase RLS)</w:t>
      </w:r>
    </w:p>
    <w:p>
      <w:pPr>
        <w:spacing w:after="120"/>
      </w:pPr>
      <w:r>
        <w:rPr>
          <w:rFonts w:ascii="Calibri" w:hAnsi="Calibri"/>
          <w:sz w:val="22"/>
        </w:rPr>
        <w:t>Todas las tablas de la aplicación tienen activada la política Row Level Security (RLS) de Supabase. Esta característica garantiza que ningún acceso directo desde el exterior —aunque se disponga de la URL y la clave anónima del proyecto— pueda leer, modificar o eliminar datos.</w:t>
      </w:r>
    </w:p>
    <w:p>
      <w:pPr>
        <w:pStyle w:val="ListBullet"/>
        <w:spacing w:after="60"/>
      </w:pPr>
      <w:r>
        <w:rPr>
          <w:rFonts w:ascii="Calibri" w:hAnsi="Calibri"/>
          <w:b/>
          <w:color w:val="1A3D6E"/>
          <w:sz w:val="22"/>
        </w:rPr>
        <w:t>Política RLS:</w:t>
      </w:r>
      <w:r>
        <w:rPr>
          <w:rFonts w:ascii="Calibri" w:hAnsi="Calibri"/>
          <w:sz w:val="22"/>
        </w:rPr>
        <w:t xml:space="preserve"> Solo la clave service_role (clave privada del servidor) puede operar sobre las tablas.</w:t>
      </w:r>
    </w:p>
    <w:p>
      <w:pPr>
        <w:pStyle w:val="ListBullet"/>
        <w:spacing w:after="60"/>
      </w:pPr>
      <w:r>
        <w:rPr>
          <w:rFonts w:ascii="Calibri" w:hAnsi="Calibri"/>
          <w:b/>
          <w:color w:val="1A3D6E"/>
          <w:sz w:val="22"/>
        </w:rPr>
        <w:t>Clave de servidor:</w:t>
      </w:r>
      <w:r>
        <w:rPr>
          <w:rFonts w:ascii="Calibri" w:hAnsi="Calibri"/>
          <w:sz w:val="22"/>
        </w:rPr>
        <w:t xml:space="preserve"> La aplicación utiliza la clave service_role almacenada como variable de entorno segura, nunca en el código fuente.</w:t>
      </w:r>
    </w:p>
    <w:p>
      <w:pPr>
        <w:pStyle w:val="ListBullet"/>
        <w:spacing w:after="60"/>
      </w:pPr>
      <w:r>
        <w:rPr>
          <w:rFonts w:ascii="Calibri" w:hAnsi="Calibri"/>
          <w:b/>
          <w:color w:val="1A3D6E"/>
          <w:sz w:val="22"/>
        </w:rPr>
        <w:t>Tablas protegidas:</w:t>
      </w:r>
      <w:r>
        <w:rPr>
          <w:rFonts w:ascii="Calibri" w:hAnsi="Calibri"/>
          <w:sz w:val="22"/>
        </w:rPr>
        <w:t xml:space="preserve"> Las siguientes tablas tienen RLS activo: empleados, festivos_locales, festivos_empleado, incidencias, panel_acceso, historico_mensual, auditoria.</w:t>
      </w:r>
    </w:p>
    <w:p/>
    <w:p>
      <w:pPr>
        <w:spacing w:after="120"/>
      </w:pPr>
      <w:r>
        <w:rPr>
          <w:rFonts w:ascii="Calibri" w:hAnsi="Calibri"/>
          <w:sz w:val="22"/>
        </w:rPr>
        <w:t>Esto significa que incluso si un tercero obtuviera la URL pública de la base de datos y la clave anónima (que es pública por diseño en Supabase), no podría leer ningún dato. Todas las operaciones legítimas se realizan a través del servidor de la aplicación con credenciales privadas.</w:t>
      </w:r>
    </w:p>
    <w:p/>
    <w:p>
      <w:pPr>
        <w:pStyle w:val="Heading1"/>
        <w:jc w:val="left"/>
      </w:pPr>
      <w:r>
        <w:rPr>
          <w:color w:val="1A3D6E"/>
        </w:rPr>
        <w:t>5. Protección de credenciales y variables de entorno</w:t>
      </w:r>
    </w:p>
    <w:p>
      <w:pPr>
        <w:spacing w:after="120"/>
      </w:pPr>
      <w:r>
        <w:rPr>
          <w:rFonts w:ascii="Calibri" w:hAnsi="Calibri"/>
          <w:sz w:val="22"/>
        </w:rPr>
        <w:t>Las credenciales de acceso a la base de datos (SUPABASE_URL y SUPABASE_KEY) no están escritas en el código fuente de la aplicación en ningún momento.</w:t>
      </w:r>
    </w:p>
    <w:p>
      <w:pPr>
        <w:pStyle w:val="ListBullet"/>
        <w:spacing w:after="60"/>
      </w:pPr>
      <w:r>
        <w:rPr>
          <w:rFonts w:ascii="Calibri" w:hAnsi="Calibri"/>
          <w:b/>
          <w:color w:val="1A3D6E"/>
          <w:sz w:val="22"/>
        </w:rPr>
        <w:t>En producción:</w:t>
      </w:r>
      <w:r>
        <w:rPr>
          <w:rFonts w:ascii="Calibri" w:hAnsi="Calibri"/>
          <w:sz w:val="22"/>
        </w:rPr>
        <w:t xml:space="preserve"> Definidas como Secrets en Streamlit Cloud, el entorno de producción.</w:t>
      </w:r>
    </w:p>
    <w:p>
      <w:pPr>
        <w:pStyle w:val="ListBullet"/>
        <w:spacing w:after="60"/>
      </w:pPr>
      <w:r>
        <w:rPr>
          <w:rFonts w:ascii="Calibri" w:hAnsi="Calibri"/>
          <w:b/>
          <w:color w:val="1A3D6E"/>
          <w:sz w:val="22"/>
        </w:rPr>
        <w:t>En desarrollo local:</w:t>
      </w:r>
      <w:r>
        <w:rPr>
          <w:rFonts w:ascii="Calibri" w:hAnsi="Calibri"/>
          <w:sz w:val="22"/>
        </w:rPr>
        <w:t xml:space="preserve"> Almacenadas en un archivo .env local excluido del repositorio Git mediante .gitignore.</w:t>
      </w:r>
    </w:p>
    <w:p>
      <w:pPr>
        <w:pStyle w:val="ListBullet"/>
        <w:spacing w:after="60"/>
      </w:pPr>
      <w:r>
        <w:rPr>
          <w:rFonts w:ascii="Calibri" w:hAnsi="Calibri"/>
          <w:b/>
          <w:color w:val="1A3D6E"/>
          <w:sz w:val="22"/>
        </w:rPr>
        <w:t>Repositorio:</w:t>
      </w:r>
      <w:r>
        <w:rPr>
          <w:rFonts w:ascii="Calibri" w:hAnsi="Calibri"/>
          <w:sz w:val="22"/>
        </w:rPr>
        <w:t xml:space="preserve"> El archivo .env nunca ha sido subido al repositorio público ni privado de GitHub.</w:t>
      </w:r>
    </w:p>
    <w:p>
      <w:pPr>
        <w:pStyle w:val="ListBullet"/>
        <w:spacing w:after="60"/>
      </w:pPr>
      <w:r>
        <w:rPr>
          <w:rFonts w:ascii="Calibri" w:hAnsi="Calibri"/>
          <w:b/>
          <w:color w:val="1A3D6E"/>
          <w:sz w:val="22"/>
        </w:rPr>
        <w:t>Guardia de arranque:</w:t>
      </w:r>
      <w:r>
        <w:rPr>
          <w:rFonts w:ascii="Calibri" w:hAnsi="Calibri"/>
          <w:sz w:val="22"/>
        </w:rPr>
        <w:t xml:space="preserve"> Si la aplicación arranca sin las credenciales definidas, muestra un error y detiene toda ejecución.</w:t>
      </w:r>
    </w:p>
    <w:p/>
    <w:p>
      <w:pPr>
        <w:pStyle w:val="Heading1"/>
        <w:jc w:val="left"/>
      </w:pPr>
      <w:r>
        <w:rPr>
          <w:color w:val="1A3D6E"/>
        </w:rPr>
        <w:t>6. Sistema de auditoría y trazabilidad</w:t>
      </w:r>
    </w:p>
    <w:p>
      <w:pPr>
        <w:spacing w:after="120"/>
      </w:pPr>
      <w:r>
        <w:rPr>
          <w:rFonts w:ascii="Calibri" w:hAnsi="Calibri"/>
          <w:sz w:val="22"/>
        </w:rPr>
        <w:t>La aplicación registra automáticamente en la tabla auditoria de Supabase todos los eventos relevantes de seguridad y operación: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d6e"/>
          </w:tcPr>
          <w:p>
            <w:r>
              <w:rPr>
                <w:rFonts w:ascii="Calibri" w:hAnsi="Calibri"/>
                <w:b/>
                <w:color w:val="FFFFFF"/>
                <w:sz w:val="20"/>
              </w:rPr>
              <w:t>Evento</w:t>
            </w:r>
          </w:p>
        </w:tc>
        <w:tc>
          <w:tcPr>
            <w:tcW w:type="dxa" w:w="3041"/>
            <w:shd w:val="clear" w:color="auto" w:fill="1a3d6e"/>
          </w:tcPr>
          <w:p>
            <w:r>
              <w:rPr>
                <w:rFonts w:ascii="Calibri" w:hAnsi="Calibri"/>
                <w:b/>
                <w:color w:val="FFFFFF"/>
                <w:sz w:val="20"/>
              </w:rPr>
              <w:t>Detalle registrado</w:t>
            </w:r>
          </w:p>
        </w:tc>
        <w:tc>
          <w:tcPr>
            <w:tcW w:type="dxa" w:w="3041"/>
            <w:shd w:val="clear" w:color="auto" w:fill="1a3d6e"/>
          </w:tcPr>
          <w:p>
            <w:r>
              <w:rPr>
                <w:rFonts w:ascii="Calibri" w:hAnsi="Calibri"/>
                <w:b/>
                <w:color w:val="FFFFFF"/>
                <w:sz w:val="20"/>
              </w:rPr>
              <w:t>Resultado posible</w:t>
            </w:r>
          </w:p>
        </w:tc>
      </w:tr>
      <w:tr>
        <w:tc>
          <w:tcPr>
            <w:tcW w:type="dxa" w:w="3041"/>
            <w:shd w:val="clear" w:color="auto" w:fill="f0f4f8"/>
          </w:tcPr>
          <w:p>
            <w:r>
              <w:rPr>
                <w:rFonts w:ascii="Calibri" w:hAnsi="Calibri"/>
                <w:sz w:val="20"/>
              </w:rPr>
              <w:t>Intento de login</w:t>
            </w:r>
          </w:p>
        </w:tc>
        <w:tc>
          <w:tcPr>
            <w:tcW w:type="dxa" w:w="3041"/>
            <w:shd w:val="clear" w:color="auto" w:fill="f0f4f8"/>
          </w:tcPr>
          <w:p>
            <w:r>
              <w:rPr>
                <w:rFonts w:ascii="Calibri" w:hAnsi="Calibri"/>
                <w:sz w:val="20"/>
              </w:rPr>
              <w:t>Correo, timestamp, IP</w:t>
            </w:r>
          </w:p>
        </w:tc>
        <w:tc>
          <w:tcPr>
            <w:tcW w:type="dxa" w:w="3041"/>
            <w:shd w:val="clear" w:color="auto" w:fill="f0f4f8"/>
          </w:tcPr>
          <w:p>
            <w:r>
              <w:rPr>
                <w:rFonts w:ascii="Calibri" w:hAnsi="Calibri"/>
                <w:sz w:val="20"/>
              </w:rPr>
              <w:t>ok / denegado / bloqueado</w:t>
            </w:r>
          </w:p>
        </w:tc>
      </w:tr>
      <w:tr>
        <w:tc>
          <w:tcPr>
            <w:tcW w:type="dxa" w:w="3041"/>
            <w:shd w:val="clear" w:color="auto" w:fill="ffffff"/>
          </w:tcPr>
          <w:p>
            <w:r>
              <w:rPr>
                <w:rFonts w:ascii="Calibri" w:hAnsi="Calibri"/>
                <w:sz w:val="20"/>
              </w:rPr>
              <w:t>Dominio no permitido</w:t>
            </w:r>
          </w:p>
        </w:tc>
        <w:tc>
          <w:tcPr>
            <w:tcW w:type="dxa" w:w="3041"/>
            <w:shd w:val="clear" w:color="auto" w:fill="ffffff"/>
          </w:tcPr>
          <w:p>
            <w:r>
              <w:rPr>
                <w:rFonts w:ascii="Calibri" w:hAnsi="Calibri"/>
                <w:sz w:val="20"/>
              </w:rPr>
              <w:t>Correo intentado, timestamp</w:t>
            </w:r>
          </w:p>
        </w:tc>
        <w:tc>
          <w:tcPr>
            <w:tcW w:type="dxa" w:w="3041"/>
            <w:shd w:val="clear" w:color="auto" w:fill="ffffff"/>
          </w:tcPr>
          <w:p>
            <w:r>
              <w:rPr>
                <w:rFonts w:ascii="Calibri" w:hAnsi="Calibri"/>
                <w:sz w:val="20"/>
              </w:rPr>
              <w:t>bloqueado</w:t>
            </w:r>
          </w:p>
        </w:tc>
      </w:tr>
      <w:tr>
        <w:tc>
          <w:tcPr>
            <w:tcW w:type="dxa" w:w="3041"/>
            <w:shd w:val="clear" w:color="auto" w:fill="f0f4f8"/>
          </w:tcPr>
          <w:p>
            <w:r>
              <w:rPr>
                <w:rFonts w:ascii="Calibri" w:hAnsi="Calibri"/>
                <w:sz w:val="20"/>
              </w:rPr>
              <w:t>Sin registro en BD</w:t>
            </w:r>
          </w:p>
        </w:tc>
        <w:tc>
          <w:tcPr>
            <w:tcW w:type="dxa" w:w="3041"/>
            <w:shd w:val="clear" w:color="auto" w:fill="f0f4f8"/>
          </w:tcPr>
          <w:p>
            <w:r>
              <w:rPr>
                <w:rFonts w:ascii="Calibri" w:hAnsi="Calibri"/>
                <w:sz w:val="20"/>
              </w:rPr>
              <w:t>Correo, motivo exacto</w:t>
            </w:r>
          </w:p>
        </w:tc>
        <w:tc>
          <w:tcPr>
            <w:tcW w:type="dxa" w:w="3041"/>
            <w:shd w:val="clear" w:color="auto" w:fill="f0f4f8"/>
          </w:tcPr>
          <w:p>
            <w:r>
              <w:rPr>
                <w:rFonts w:ascii="Calibri" w:hAnsi="Calibri"/>
                <w:sz w:val="20"/>
              </w:rPr>
              <w:t>denegado</w:t>
            </w:r>
          </w:p>
        </w:tc>
      </w:tr>
      <w:tr>
        <w:tc>
          <w:tcPr>
            <w:tcW w:type="dxa" w:w="3041"/>
            <w:shd w:val="clear" w:color="auto" w:fill="ffffff"/>
          </w:tcPr>
          <w:p>
            <w:r>
              <w:rPr>
                <w:rFonts w:ascii="Calibri" w:hAnsi="Calibri"/>
                <w:sz w:val="20"/>
              </w:rPr>
              <w:t>Carga de Excel</w:t>
            </w:r>
          </w:p>
        </w:tc>
        <w:tc>
          <w:tcPr>
            <w:tcW w:type="dxa" w:w="3041"/>
            <w:shd w:val="clear" w:color="auto" w:fill="ffffff"/>
          </w:tcPr>
          <w:p>
            <w:r>
              <w:rPr>
                <w:rFonts w:ascii="Calibri" w:hAnsi="Calibri"/>
                <w:sz w:val="20"/>
              </w:rPr>
              <w:t>Correo, mes/año procesado</w:t>
            </w:r>
          </w:p>
        </w:tc>
        <w:tc>
          <w:tcPr>
            <w:tcW w:type="dxa" w:w="3041"/>
            <w:shd w:val="clear" w:color="auto" w:fill="ffffff"/>
          </w:tcPr>
          <w:p>
            <w:r>
              <w:rPr>
                <w:rFonts w:ascii="Calibri" w:hAnsi="Calibri"/>
                <w:sz w:val="20"/>
              </w:rPr>
              <w:t>ok / error</w:t>
            </w:r>
          </w:p>
        </w:tc>
      </w:tr>
    </w:tbl>
    <w:p/>
    <w:p>
      <w:pPr>
        <w:spacing w:after="120"/>
      </w:pPr>
      <w:r>
        <w:rPr>
          <w:rFonts w:ascii="Calibri" w:hAnsi="Calibri"/>
          <w:sz w:val="22"/>
        </w:rPr>
        <w:t>El acceso a la vista de auditoría dentro de la aplicación está reservado exclusivamente al usuario danielgilabert@prode.es. El resto de usuarios, incluso con rol de administrador, no pueden visualizar ni consultar el registro de auditoría.</w:t>
      </w:r>
    </w:p>
    <w:p/>
    <w:p>
      <w:pPr>
        <w:pStyle w:val="Heading1"/>
        <w:jc w:val="left"/>
      </w:pPr>
      <w:r>
        <w:rPr>
          <w:color w:val="1A3D6E"/>
        </w:rPr>
        <w:t>7. Seguridad en el despliegue (Streamlit Cloud)</w:t>
      </w:r>
    </w:p>
    <w:p>
      <w:pPr>
        <w:spacing w:after="120"/>
      </w:pPr>
      <w:r>
        <w:rPr>
          <w:rFonts w:ascii="Calibri" w:hAnsi="Calibri"/>
          <w:sz w:val="22"/>
        </w:rPr>
        <w:t>La aplicación está desplegada en Streamlit Cloud, plataforma gestionada con los siguientes controles de seguridad adicionales:</w:t>
      </w:r>
    </w:p>
    <w:p>
      <w:pPr>
        <w:pStyle w:val="ListBullet"/>
        <w:spacing w:after="60"/>
      </w:pPr>
      <w:r>
        <w:rPr>
          <w:rFonts w:ascii="Calibri" w:hAnsi="Calibri"/>
          <w:b/>
          <w:color w:val="1A3D6E"/>
          <w:sz w:val="22"/>
        </w:rPr>
        <w:t>Comunicaciones cifradas (HTTPS):</w:t>
      </w:r>
      <w:r>
        <w:rPr>
          <w:rFonts w:ascii="Calibri" w:hAnsi="Calibri"/>
          <w:sz w:val="22"/>
        </w:rPr>
        <w:t xml:space="preserve"> Toda la comunicación entre el navegador del usuario y la aplicación está cifrada con TLS 1.2/1.3 (HTTPS).</w:t>
      </w:r>
    </w:p>
    <w:p>
      <w:pPr>
        <w:pStyle w:val="ListBullet"/>
        <w:spacing w:after="60"/>
      </w:pPr>
      <w:r>
        <w:rPr>
          <w:rFonts w:ascii="Calibri" w:hAnsi="Calibri"/>
          <w:b/>
          <w:color w:val="1A3D6E"/>
          <w:sz w:val="22"/>
        </w:rPr>
        <w:t>Control de despliegue:</w:t>
      </w:r>
      <w:r>
        <w:rPr>
          <w:rFonts w:ascii="Calibri" w:hAnsi="Calibri"/>
          <w:sz w:val="22"/>
        </w:rPr>
        <w:t xml:space="preserve"> Solo el propietario del repositorio (danielgilabert) puede desplegar cambios en producción.</w:t>
      </w:r>
    </w:p>
    <w:p>
      <w:pPr>
        <w:pStyle w:val="ListBullet"/>
        <w:spacing w:after="60"/>
      </w:pPr>
      <w:r>
        <w:rPr>
          <w:rFonts w:ascii="Calibri" w:hAnsi="Calibri"/>
          <w:b/>
          <w:color w:val="1A3D6E"/>
          <w:sz w:val="22"/>
        </w:rPr>
        <w:t>Secrets aislados:</w:t>
      </w:r>
      <w:r>
        <w:rPr>
          <w:rFonts w:ascii="Calibri" w:hAnsi="Calibri"/>
          <w:sz w:val="22"/>
        </w:rPr>
        <w:t xml:space="preserve"> Los Secrets de Streamlit Cloud son accesibles únicamente desde la ejecución del servidor, nunca expuestos al navegador.</w:t>
      </w:r>
    </w:p>
    <w:p>
      <w:pPr>
        <w:pStyle w:val="ListBullet"/>
        <w:spacing w:after="60"/>
      </w:pPr>
      <w:r>
        <w:rPr>
          <w:rFonts w:ascii="Calibri" w:hAnsi="Calibri"/>
          <w:b/>
          <w:color w:val="1A3D6E"/>
          <w:sz w:val="22"/>
        </w:rPr>
        <w:t>Sin contraseñas en texto plano:</w:t>
      </w:r>
      <w:r>
        <w:rPr>
          <w:rFonts w:ascii="Calibri" w:hAnsi="Calibri"/>
          <w:sz w:val="22"/>
        </w:rPr>
        <w:t xml:space="preserve"> La aplicación no almacena contraseñas. La autenticación se basa en correo electrónico verificado contra la base de datos corporativa.</w:t>
      </w:r>
    </w:p>
    <w:p/>
    <w:p>
      <w:pPr>
        <w:pStyle w:val="Heading1"/>
        <w:jc w:val="left"/>
      </w:pPr>
      <w:r>
        <w:rPr>
          <w:color w:val="1A3D6E"/>
        </w:rPr>
        <w:t>8. Resumen ejecutivo de controles de seguridad</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d6e"/>
          </w:tcPr>
          <w:p>
            <w:r>
              <w:rPr>
                <w:rFonts w:ascii="Calibri" w:hAnsi="Calibri"/>
                <w:b/>
                <w:color w:val="FFFFFF"/>
                <w:sz w:val="20"/>
              </w:rPr>
              <w:t>Control</w:t>
            </w:r>
          </w:p>
        </w:tc>
        <w:tc>
          <w:tcPr>
            <w:tcW w:type="dxa" w:w="3041"/>
            <w:shd w:val="clear" w:color="auto" w:fill="1a3d6e"/>
          </w:tcPr>
          <w:p>
            <w:r>
              <w:rPr>
                <w:rFonts w:ascii="Calibri" w:hAnsi="Calibri"/>
                <w:b/>
                <w:color w:val="FFFFFF"/>
                <w:sz w:val="20"/>
              </w:rPr>
              <w:t>Implementación</w:t>
            </w:r>
          </w:p>
        </w:tc>
        <w:tc>
          <w:tcPr>
            <w:tcW w:type="dxa" w:w="3041"/>
            <w:shd w:val="clear" w:color="auto" w:fill="1a3d6e"/>
          </w:tcPr>
          <w:p>
            <w:r>
              <w:rPr>
                <w:rFonts w:ascii="Calibri" w:hAnsi="Calibri"/>
                <w:b/>
                <w:color w:val="FFFFFF"/>
                <w:sz w:val="20"/>
              </w:rPr>
              <w:t>Estado</w:t>
            </w:r>
          </w:p>
        </w:tc>
      </w:tr>
      <w:tr>
        <w:tc>
          <w:tcPr>
            <w:tcW w:type="dxa" w:w="3041"/>
            <w:shd w:val="clear" w:color="auto" w:fill="f0f4f8"/>
          </w:tcPr>
          <w:p>
            <w:r>
              <w:rPr>
                <w:rFonts w:ascii="Calibri" w:hAnsi="Calibri"/>
                <w:b/>
                <w:color w:val="1A3D6E"/>
                <w:sz w:val="20"/>
              </w:rPr>
              <w:t>Restricción de dominio</w:t>
            </w:r>
          </w:p>
        </w:tc>
        <w:tc>
          <w:tcPr>
            <w:tcW w:type="dxa" w:w="3041"/>
            <w:shd w:val="clear" w:color="auto" w:fill="f0f4f8"/>
          </w:tcPr>
          <w:p>
            <w:r>
              <w:rPr>
                <w:rFonts w:ascii="Calibri" w:hAnsi="Calibri"/>
                <w:sz w:val="20"/>
              </w:rPr>
              <w:t>Solo @prode.es puede intentar acceso</w:t>
            </w:r>
          </w:p>
        </w:tc>
        <w:tc>
          <w:tcPr>
            <w:tcW w:type="dxa" w:w="3041"/>
            <w:shd w:val="clear" w:color="auto" w:fill="f0f4f8"/>
          </w:tcPr>
          <w:p>
            <w:r>
              <w:rPr>
                <w:rFonts w:ascii="Calibri" w:hAnsi="Calibri"/>
                <w:b/>
                <w:color w:val="28A745"/>
                <w:sz w:val="20"/>
              </w:rPr>
              <w:t>ACTIVO</w:t>
            </w:r>
          </w:p>
        </w:tc>
      </w:tr>
      <w:tr>
        <w:tc>
          <w:tcPr>
            <w:tcW w:type="dxa" w:w="3041"/>
            <w:shd w:val="clear" w:color="auto" w:fill="ffffff"/>
          </w:tcPr>
          <w:p>
            <w:r>
              <w:rPr>
                <w:rFonts w:ascii="Calibri" w:hAnsi="Calibri"/>
                <w:b/>
                <w:color w:val="1A3D6E"/>
                <w:sz w:val="20"/>
              </w:rPr>
              <w:t>Autenticación por BD</w:t>
            </w:r>
          </w:p>
        </w:tc>
        <w:tc>
          <w:tcPr>
            <w:tcW w:type="dxa" w:w="3041"/>
            <w:shd w:val="clear" w:color="auto" w:fill="ffffff"/>
          </w:tcPr>
          <w:p>
            <w:r>
              <w:rPr>
                <w:rFonts w:ascii="Calibri" w:hAnsi="Calibri"/>
                <w:sz w:val="20"/>
              </w:rPr>
              <w:t>Correo verificado en tabla empleados</w:t>
            </w:r>
          </w:p>
        </w:tc>
        <w:tc>
          <w:tcPr>
            <w:tcW w:type="dxa" w:w="3041"/>
            <w:shd w:val="clear" w:color="auto" w:fill="ffffff"/>
          </w:tcPr>
          <w:p>
            <w:r>
              <w:rPr>
                <w:rFonts w:ascii="Calibri" w:hAnsi="Calibri"/>
                <w:b/>
                <w:color w:val="28A745"/>
                <w:sz w:val="20"/>
              </w:rPr>
              <w:t>ACTIVO</w:t>
            </w:r>
          </w:p>
        </w:tc>
      </w:tr>
      <w:tr>
        <w:tc>
          <w:tcPr>
            <w:tcW w:type="dxa" w:w="3041"/>
            <w:shd w:val="clear" w:color="auto" w:fill="f0f4f8"/>
          </w:tcPr>
          <w:p>
            <w:r>
              <w:rPr>
                <w:rFonts w:ascii="Calibri" w:hAnsi="Calibri"/>
                <w:b/>
                <w:color w:val="1A3D6E"/>
                <w:sz w:val="20"/>
              </w:rPr>
              <w:t>Control de roles</w:t>
            </w:r>
          </w:p>
        </w:tc>
        <w:tc>
          <w:tcPr>
            <w:tcW w:type="dxa" w:w="3041"/>
            <w:shd w:val="clear" w:color="auto" w:fill="f0f4f8"/>
          </w:tcPr>
          <w:p>
            <w:r>
              <w:rPr>
                <w:rFonts w:ascii="Calibri" w:hAnsi="Calibri"/>
                <w:sz w:val="20"/>
              </w:rPr>
              <w:t>es_responsable / es_admin por empleado</w:t>
            </w:r>
          </w:p>
        </w:tc>
        <w:tc>
          <w:tcPr>
            <w:tcW w:type="dxa" w:w="3041"/>
            <w:shd w:val="clear" w:color="auto" w:fill="f0f4f8"/>
          </w:tcPr>
          <w:p>
            <w:r>
              <w:rPr>
                <w:rFonts w:ascii="Calibri" w:hAnsi="Calibri"/>
                <w:b/>
                <w:color w:val="28A745"/>
                <w:sz w:val="20"/>
              </w:rPr>
              <w:t>ACTIVO</w:t>
            </w:r>
          </w:p>
        </w:tc>
      </w:tr>
      <w:tr>
        <w:tc>
          <w:tcPr>
            <w:tcW w:type="dxa" w:w="3041"/>
            <w:shd w:val="clear" w:color="auto" w:fill="ffffff"/>
          </w:tcPr>
          <w:p>
            <w:r>
              <w:rPr>
                <w:rFonts w:ascii="Calibri" w:hAnsi="Calibri"/>
                <w:b/>
                <w:color w:val="1A3D6E"/>
                <w:sz w:val="20"/>
              </w:rPr>
              <w:t>RLS en todas las tablas</w:t>
            </w:r>
          </w:p>
        </w:tc>
        <w:tc>
          <w:tcPr>
            <w:tcW w:type="dxa" w:w="3041"/>
            <w:shd w:val="clear" w:color="auto" w:fill="ffffff"/>
          </w:tcPr>
          <w:p>
            <w:r>
              <w:rPr>
                <w:rFonts w:ascii="Calibri" w:hAnsi="Calibri"/>
                <w:sz w:val="20"/>
              </w:rPr>
              <w:t>Bloqueo total con clave anónima</w:t>
            </w:r>
          </w:p>
        </w:tc>
        <w:tc>
          <w:tcPr>
            <w:tcW w:type="dxa" w:w="3041"/>
            <w:shd w:val="clear" w:color="auto" w:fill="ffffff"/>
          </w:tcPr>
          <w:p>
            <w:r>
              <w:rPr>
                <w:rFonts w:ascii="Calibri" w:hAnsi="Calibri"/>
                <w:b/>
                <w:color w:val="28A745"/>
                <w:sz w:val="20"/>
              </w:rPr>
              <w:t>ACTIVO</w:t>
            </w:r>
          </w:p>
        </w:tc>
      </w:tr>
      <w:tr>
        <w:tc>
          <w:tcPr>
            <w:tcW w:type="dxa" w:w="3041"/>
            <w:shd w:val="clear" w:color="auto" w:fill="f0f4f8"/>
          </w:tcPr>
          <w:p>
            <w:r>
              <w:rPr>
                <w:rFonts w:ascii="Calibri" w:hAnsi="Calibri"/>
                <w:b/>
                <w:color w:val="1A3D6E"/>
                <w:sz w:val="20"/>
              </w:rPr>
              <w:t>Credenciales en variables env</w:t>
            </w:r>
          </w:p>
        </w:tc>
        <w:tc>
          <w:tcPr>
            <w:tcW w:type="dxa" w:w="3041"/>
            <w:shd w:val="clear" w:color="auto" w:fill="f0f4f8"/>
          </w:tcPr>
          <w:p>
            <w:r>
              <w:rPr>
                <w:rFonts w:ascii="Calibri" w:hAnsi="Calibri"/>
                <w:sz w:val="20"/>
              </w:rPr>
              <w:t>Nunca en código fuente ni repositorio</w:t>
            </w:r>
          </w:p>
        </w:tc>
        <w:tc>
          <w:tcPr>
            <w:tcW w:type="dxa" w:w="3041"/>
            <w:shd w:val="clear" w:color="auto" w:fill="f0f4f8"/>
          </w:tcPr>
          <w:p>
            <w:r>
              <w:rPr>
                <w:rFonts w:ascii="Calibri" w:hAnsi="Calibri"/>
                <w:b/>
                <w:color w:val="28A745"/>
                <w:sz w:val="20"/>
              </w:rPr>
              <w:t>ACTIVO</w:t>
            </w:r>
          </w:p>
        </w:tc>
      </w:tr>
      <w:tr>
        <w:tc>
          <w:tcPr>
            <w:tcW w:type="dxa" w:w="3041"/>
            <w:shd w:val="clear" w:color="auto" w:fill="ffffff"/>
          </w:tcPr>
          <w:p>
            <w:r>
              <w:rPr>
                <w:rFonts w:ascii="Calibri" w:hAnsi="Calibri"/>
                <w:b/>
                <w:color w:val="1A3D6E"/>
                <w:sz w:val="20"/>
              </w:rPr>
              <w:t>Comunicación HTTPS</w:t>
            </w:r>
          </w:p>
        </w:tc>
        <w:tc>
          <w:tcPr>
            <w:tcW w:type="dxa" w:w="3041"/>
            <w:shd w:val="clear" w:color="auto" w:fill="ffffff"/>
          </w:tcPr>
          <w:p>
            <w:r>
              <w:rPr>
                <w:rFonts w:ascii="Calibri" w:hAnsi="Calibri"/>
                <w:sz w:val="20"/>
              </w:rPr>
              <w:t>TLS 1.2/1.3 en Streamlit Cloud</w:t>
            </w:r>
          </w:p>
        </w:tc>
        <w:tc>
          <w:tcPr>
            <w:tcW w:type="dxa" w:w="3041"/>
            <w:shd w:val="clear" w:color="auto" w:fill="ffffff"/>
          </w:tcPr>
          <w:p>
            <w:r>
              <w:rPr>
                <w:rFonts w:ascii="Calibri" w:hAnsi="Calibri"/>
                <w:b/>
                <w:color w:val="28A745"/>
                <w:sz w:val="20"/>
              </w:rPr>
              <w:t>ACTIVO</w:t>
            </w:r>
          </w:p>
        </w:tc>
      </w:tr>
      <w:tr>
        <w:tc>
          <w:tcPr>
            <w:tcW w:type="dxa" w:w="3041"/>
            <w:shd w:val="clear" w:color="auto" w:fill="f0f4f8"/>
          </w:tcPr>
          <w:p>
            <w:r>
              <w:rPr>
                <w:rFonts w:ascii="Calibri" w:hAnsi="Calibri"/>
                <w:b/>
                <w:color w:val="1A3D6E"/>
                <w:sz w:val="20"/>
              </w:rPr>
              <w:t>Registro de auditoría</w:t>
            </w:r>
          </w:p>
        </w:tc>
        <w:tc>
          <w:tcPr>
            <w:tcW w:type="dxa" w:w="3041"/>
            <w:shd w:val="clear" w:color="auto" w:fill="f0f4f8"/>
          </w:tcPr>
          <w:p>
            <w:r>
              <w:rPr>
                <w:rFonts w:ascii="Calibri" w:hAnsi="Calibri"/>
                <w:sz w:val="20"/>
              </w:rPr>
              <w:t>Tabla auditoria en Supabase, acceso restringido</w:t>
            </w:r>
          </w:p>
        </w:tc>
        <w:tc>
          <w:tcPr>
            <w:tcW w:type="dxa" w:w="3041"/>
            <w:shd w:val="clear" w:color="auto" w:fill="f0f4f8"/>
          </w:tcPr>
          <w:p>
            <w:r>
              <w:rPr>
                <w:rFonts w:ascii="Calibri" w:hAnsi="Calibri"/>
                <w:b/>
                <w:color w:val="28A745"/>
                <w:sz w:val="20"/>
              </w:rPr>
              <w:t>ACTIVO</w:t>
            </w:r>
          </w:p>
        </w:tc>
      </w:tr>
      <w:tr>
        <w:tc>
          <w:tcPr>
            <w:tcW w:type="dxa" w:w="3041"/>
            <w:shd w:val="clear" w:color="auto" w:fill="ffffff"/>
          </w:tcPr>
          <w:p>
            <w:r>
              <w:rPr>
                <w:rFonts w:ascii="Calibri" w:hAnsi="Calibri"/>
                <w:b/>
                <w:color w:val="1A3D6E"/>
                <w:sz w:val="20"/>
              </w:rPr>
              <w:t>Logging de aplicación</w:t>
            </w:r>
          </w:p>
        </w:tc>
        <w:tc>
          <w:tcPr>
            <w:tcW w:type="dxa" w:w="3041"/>
            <w:shd w:val="clear" w:color="auto" w:fill="ffffff"/>
          </w:tcPr>
          <w:p>
            <w:r>
              <w:rPr>
                <w:rFonts w:ascii="Calibri" w:hAnsi="Calibri"/>
                <w:sz w:val="20"/>
              </w:rPr>
              <w:t>Archivo logs/app.log con rotación automática</w:t>
            </w:r>
          </w:p>
        </w:tc>
        <w:tc>
          <w:tcPr>
            <w:tcW w:type="dxa" w:w="3041"/>
            <w:shd w:val="clear" w:color="auto" w:fill="ffffff"/>
          </w:tcPr>
          <w:p>
            <w:r>
              <w:rPr>
                <w:rFonts w:ascii="Calibri" w:hAnsi="Calibri"/>
                <w:b/>
                <w:color w:val="28A745"/>
                <w:sz w:val="20"/>
              </w:rPr>
              <w:t>ACTIVO</w:t>
            </w:r>
          </w:p>
        </w:tc>
      </w:tr>
    </w:tbl>
    <w:p/>
    <w:p>
      <w:r>
        <w:br w:type="page"/>
      </w:r>
    </w:p>
    <w:p>
      <w:pPr>
        <w:spacing w:before="4000"/>
        <w:jc w:val="center"/>
      </w:pPr>
      <w:r>
        <w:rPr>
          <w:rFonts w:ascii="Calibri" w:hAnsi="Calibri"/>
          <w:color w:val="999999"/>
          <w:sz w:val="20"/>
        </w:rPr>
        <w:t>Documento generado el 03/03/2026  ·  Elaborado por Daniel Gilabert Cantero  ·  Fundación PRODE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