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-Início da Criação do Mapa de Tutorial;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-Incrementação de Obstáculos Iniciais;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-Configuração de Double Jump;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Editar no BP_Character: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4857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-Criação de Plataformas Móveis (Horizontal e Vertical) em Loop;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32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