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4. Stakeholders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4.1 Stakeholders Principais</w:t>
      </w:r>
    </w:p>
    <w:p>
      <w:r>
        <w:t>Gestores de estoque, operadores, analistas, administradores do sistema, equipe de desenvolvimento e áreas consumidoras dos dados.</w:t>
      </w:r>
    </w:p>
    <w:p>
      <w:pPr>
        <w:pStyle w:val="Heading1"/>
      </w:pPr>
      <w:r>
        <w:t>4.2 Interesses</w:t>
      </w:r>
    </w:p>
    <w:p>
      <w:r>
        <w:t>Os gestores necessitam de confiabilidade e visibilidade do estoque; operadores precisam registrar movimentações de forma segura; analistas necessitam de dados estruturados; desenvolvedores precisam de uma arquitetura manutenível; sistemas consumidores precisam de uma API documentada.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