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11. Matriz de Rastreabilidade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Objetivo</w:t>
      </w:r>
    </w:p>
    <w:p>
      <w:r>
        <w:t>A matriz relaciona requisitos às funcionalidades e aos critérios de aceitação, permitindo verificar se cada requisito foi implementado e testado.</w:t>
      </w:r>
    </w:p>
    <w:p>
      <w:pPr>
        <w:pStyle w:val="Heading1"/>
      </w:pPr>
      <w:r>
        <w:t>RF-001 / RF-003 / RF-004</w:t>
      </w:r>
    </w:p>
    <w:p>
      <w:r>
        <w:t>Produtos → UC-001 → CA-001, CA-002</w:t>
      </w:r>
    </w:p>
    <w:p>
      <w:pPr>
        <w:pStyle w:val="Heading1"/>
      </w:pPr>
      <w:r>
        <w:t>RF-005 / RF-006 / RF-007 / RF-008</w:t>
      </w:r>
    </w:p>
    <w:p>
      <w:r>
        <w:t>Categorias → UC-002 → validações de integridade</w:t>
      </w:r>
    </w:p>
    <w:p>
      <w:pPr>
        <w:pStyle w:val="Heading1"/>
      </w:pPr>
      <w:r>
        <w:t>RF-009</w:t>
      </w:r>
    </w:p>
    <w:p>
      <w:r>
        <w:t>Entrada → UC-003 → CA-003</w:t>
      </w:r>
    </w:p>
    <w:p>
      <w:pPr>
        <w:pStyle w:val="Heading1"/>
      </w:pPr>
      <w:r>
        <w:t>RF-010 / RF-011</w:t>
      </w:r>
    </w:p>
    <w:p>
      <w:r>
        <w:t>Saída → UC-004 → CA-004, CA-005</w:t>
      </w:r>
    </w:p>
    <w:p>
      <w:pPr>
        <w:pStyle w:val="Heading1"/>
      </w:pPr>
      <w:r>
        <w:t>RF-012 / RF-015</w:t>
      </w:r>
    </w:p>
    <w:p>
      <w:r>
        <w:t>Movimentações → UC-006 → CA-007</w:t>
      </w:r>
    </w:p>
    <w:p>
      <w:pPr>
        <w:pStyle w:val="Heading1"/>
      </w:pPr>
      <w:r>
        <w:t>RF-013 / RF-014 / RF-016</w:t>
      </w:r>
    </w:p>
    <w:p>
      <w:r>
        <w:t>Estoque e indicadores → UC-005 → CA-006</w:t>
      </w:r>
    </w:p>
    <w:p>
      <w:pPr>
        <w:pStyle w:val="Heading1"/>
      </w:pPr>
      <w:r>
        <w:t>RF-017 / RF-018</w:t>
      </w:r>
    </w:p>
    <w:p>
      <w:r>
        <w:t>Consultas → endpoints paginados/ordenados → testes de consulta</w:t>
      </w:r>
    </w:p>
    <w:p>
      <w:pPr>
        <w:pStyle w:val="Heading1"/>
      </w:pPr>
      <w:r>
        <w:t>RF-019 / RF-020</w:t>
      </w:r>
    </w:p>
    <w:p>
      <w:r>
        <w:t>Validação e erros → todos os casos de uso → CA-008</w:t>
      </w:r>
    </w:p>
    <w:p>
      <w:pPr>
        <w:pStyle w:val="Heading1"/>
      </w:pPr>
      <w:r>
        <w:t>RNF-005</w:t>
      </w:r>
    </w:p>
    <w:p>
      <w:r>
        <w:t>Testabilidade → todos os requisitos críticos → CA-010</w:t>
      </w:r>
    </w:p>
    <w:p>
      <w:pPr>
        <w:pStyle w:val="Heading1"/>
      </w:pPr>
      <w:r>
        <w:t>RNF-006</w:t>
      </w:r>
    </w:p>
    <w:p>
      <w:r>
        <w:t>Documentação → API → CA-009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