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SMARTDOC EXTRACTOR</w:t>
      </w:r>
    </w:p>
    <w:p>
      <w:pPr>
        <w:jc w:val="center"/>
      </w:pPr>
      <w:r>
        <w:rPr>
          <w:b/>
          <w:sz w:val="32"/>
        </w:rPr>
        <w:t>Plano de Testes</w:t>
      </w:r>
    </w:p>
    <w:p>
      <w:pPr>
        <w:jc w:val="center"/>
      </w:pPr>
      <w:r>
        <w:rPr>
          <w:i/>
        </w:rPr>
        <w:t>Qualidade, validação e estratégia de testes • Versão 1.0</w:t>
      </w:r>
    </w:p>
    <w:p/>
    <w:p>
      <w:pPr>
        <w:pStyle w:val="Heading1"/>
      </w:pPr>
      <w:r>
        <w:t>1. Objetivo</w:t>
      </w:r>
    </w:p>
    <w:p>
      <w:r>
        <w:t>Definir a estratégia para verificar se o SmartDoc Extractor atende aos requisitos funcionais, não funcionais e regras de negócio.</w:t>
      </w:r>
    </w:p>
    <w:p>
      <w:pPr>
        <w:pStyle w:val="Heading1"/>
      </w:pPr>
      <w:r>
        <w:t>2. Níveis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Nível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Ferramentas</w:t>
            </w:r>
          </w:p>
        </w:tc>
      </w:tr>
      <w:tr>
        <w:tc>
          <w:tcPr>
            <w:tcW w:type="dxa" w:w="3312"/>
          </w:tcPr>
          <w:p>
            <w:r>
              <w:t>Unitário</w:t>
            </w:r>
          </w:p>
        </w:tc>
        <w:tc>
          <w:tcPr>
            <w:tcW w:type="dxa" w:w="3312"/>
          </w:tcPr>
          <w:p>
            <w:r>
              <w:t>Validar funções e componentes isolados</w:t>
            </w:r>
          </w:p>
        </w:tc>
        <w:tc>
          <w:tcPr>
            <w:tcW w:type="dxa" w:w="3312"/>
          </w:tcPr>
          <w:p>
            <w:r>
              <w:t>pytest</w:t>
            </w:r>
          </w:p>
        </w:tc>
      </w:tr>
      <w:tr>
        <w:tc>
          <w:tcPr>
            <w:tcW w:type="dxa" w:w="3312"/>
          </w:tcPr>
          <w:p>
            <w:r>
              <w:t>Integração</w:t>
            </w:r>
          </w:p>
        </w:tc>
        <w:tc>
          <w:tcPr>
            <w:tcW w:type="dxa" w:w="3312"/>
          </w:tcPr>
          <w:p>
            <w:r>
              <w:t>Validar módulos, banco e serviços</w:t>
            </w:r>
          </w:p>
        </w:tc>
        <w:tc>
          <w:tcPr>
            <w:tcW w:type="dxa" w:w="3312"/>
          </w:tcPr>
          <w:p>
            <w:r>
              <w:t>pytest, Testcontainers/equivalente</w:t>
            </w:r>
          </w:p>
        </w:tc>
      </w:tr>
      <w:tr>
        <w:tc>
          <w:tcPr>
            <w:tcW w:type="dxa" w:w="3312"/>
          </w:tcPr>
          <w:p>
            <w:r>
              <w:t>API</w:t>
            </w:r>
          </w:p>
        </w:tc>
        <w:tc>
          <w:tcPr>
            <w:tcW w:type="dxa" w:w="3312"/>
          </w:tcPr>
          <w:p>
            <w:r>
              <w:t>Validar endpoints e contratos</w:t>
            </w:r>
          </w:p>
        </w:tc>
        <w:tc>
          <w:tcPr>
            <w:tcW w:type="dxa" w:w="3312"/>
          </w:tcPr>
          <w:p>
            <w:r>
              <w:t>pytest, httpx</w:t>
            </w:r>
          </w:p>
        </w:tc>
      </w:tr>
      <w:tr>
        <w:tc>
          <w:tcPr>
            <w:tcW w:type="dxa" w:w="3312"/>
          </w:tcPr>
          <w:p>
            <w:r>
              <w:t>Sistema</w:t>
            </w:r>
          </w:p>
        </w:tc>
        <w:tc>
          <w:tcPr>
            <w:tcW w:type="dxa" w:w="3312"/>
          </w:tcPr>
          <w:p>
            <w:r>
              <w:t>Validar fluxos completos</w:t>
            </w:r>
          </w:p>
        </w:tc>
        <w:tc>
          <w:tcPr>
            <w:tcW w:type="dxa" w:w="3312"/>
          </w:tcPr>
          <w:p>
            <w:r>
              <w:t>pytest + ambiente integrado</w:t>
            </w:r>
          </w:p>
        </w:tc>
      </w:tr>
      <w:tr>
        <w:tc>
          <w:tcPr>
            <w:tcW w:type="dxa" w:w="3312"/>
          </w:tcPr>
          <w:p>
            <w:r>
              <w:t>E2E</w:t>
            </w:r>
          </w:p>
        </w:tc>
        <w:tc>
          <w:tcPr>
            <w:tcW w:type="dxa" w:w="3312"/>
          </w:tcPr>
          <w:p>
            <w:r>
              <w:t>Validar jornada do usuário</w:t>
            </w:r>
          </w:p>
        </w:tc>
        <w:tc>
          <w:tcPr>
            <w:tcW w:type="dxa" w:w="3312"/>
          </w:tcPr>
          <w:p>
            <w:r>
              <w:t>Playwright/Selenium – evolução</w:t>
            </w:r>
          </w:p>
        </w:tc>
      </w:tr>
      <w:tr>
        <w:tc>
          <w:tcPr>
            <w:tcW w:type="dxa" w:w="3312"/>
          </w:tcPr>
          <w:p>
            <w:r>
              <w:t>Performance</w:t>
            </w:r>
          </w:p>
        </w:tc>
        <w:tc>
          <w:tcPr>
            <w:tcW w:type="dxa" w:w="3312"/>
          </w:tcPr>
          <w:p>
            <w:r>
              <w:t>Avaliar carga e latência</w:t>
            </w:r>
          </w:p>
        </w:tc>
        <w:tc>
          <w:tcPr>
            <w:tcW w:type="dxa" w:w="3312"/>
          </w:tcPr>
          <w:p>
            <w:r>
              <w:t>Locust – evolução</w:t>
            </w:r>
          </w:p>
        </w:tc>
      </w:tr>
      <w:tr>
        <w:tc>
          <w:tcPr>
            <w:tcW w:type="dxa" w:w="3312"/>
          </w:tcPr>
          <w:p>
            <w:r>
              <w:t>Segurança</w:t>
            </w:r>
          </w:p>
        </w:tc>
        <w:tc>
          <w:tcPr>
            <w:tcW w:type="dxa" w:w="3312"/>
          </w:tcPr>
          <w:p>
            <w:r>
              <w:t>Identificar vulnerabilidades</w:t>
            </w:r>
          </w:p>
        </w:tc>
        <w:tc>
          <w:tcPr>
            <w:tcW w:type="dxa" w:w="3312"/>
          </w:tcPr>
          <w:p>
            <w:r>
              <w:t>Ferramentas SAST/DAST – evolução</w:t>
            </w:r>
          </w:p>
        </w:tc>
      </w:tr>
    </w:tbl>
    <w:p/>
    <w:p>
      <w:pPr>
        <w:pStyle w:val="Heading1"/>
      </w:pPr>
      <w:r>
        <w:t>3. Casos de Teste Iniciais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Cenário</w:t>
            </w:r>
          </w:p>
        </w:tc>
        <w:tc>
          <w:tcPr>
            <w:tcW w:type="dxa" w:w="3312"/>
            <w:shd w:fill="D9EAF7"/>
            <w:vAlign w:val="center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3312"/>
          </w:tcPr>
          <w:p>
            <w:r>
              <w:t>CT-001</w:t>
            </w:r>
          </w:p>
        </w:tc>
        <w:tc>
          <w:tcPr>
            <w:tcW w:type="dxa" w:w="3312"/>
          </w:tcPr>
          <w:p>
            <w:r>
              <w:t>Upload PDF válido</w:t>
            </w:r>
          </w:p>
        </w:tc>
        <w:tc>
          <w:tcPr>
            <w:tcW w:type="dxa" w:w="3312"/>
          </w:tcPr>
          <w:p>
            <w:r>
              <w:t>Arquivo aceito e registrado</w:t>
            </w:r>
          </w:p>
        </w:tc>
      </w:tr>
      <w:tr>
        <w:tc>
          <w:tcPr>
            <w:tcW w:type="dxa" w:w="3312"/>
          </w:tcPr>
          <w:p>
            <w:r>
              <w:t>CT-002</w:t>
            </w:r>
          </w:p>
        </w:tc>
        <w:tc>
          <w:tcPr>
            <w:tcW w:type="dxa" w:w="3312"/>
          </w:tcPr>
          <w:p>
            <w:r>
              <w:t>Upload formato inválido</w:t>
            </w:r>
          </w:p>
        </w:tc>
        <w:tc>
          <w:tcPr>
            <w:tcW w:type="dxa" w:w="3312"/>
          </w:tcPr>
          <w:p>
            <w:r>
              <w:t>Sistema rejeita e informa motivo</w:t>
            </w:r>
          </w:p>
        </w:tc>
      </w:tr>
      <w:tr>
        <w:tc>
          <w:tcPr>
            <w:tcW w:type="dxa" w:w="3312"/>
          </w:tcPr>
          <w:p>
            <w:r>
              <w:t>CT-003</w:t>
            </w:r>
          </w:p>
        </w:tc>
        <w:tc>
          <w:tcPr>
            <w:tcW w:type="dxa" w:w="3312"/>
          </w:tcPr>
          <w:p>
            <w:r>
              <w:t>Upload duplicado</w:t>
            </w:r>
          </w:p>
        </w:tc>
        <w:tc>
          <w:tcPr>
            <w:tcW w:type="dxa" w:w="3312"/>
          </w:tcPr>
          <w:p>
            <w:r>
              <w:t>Sistema identifica hash e impede/reclassifica conforme regra</w:t>
            </w:r>
          </w:p>
        </w:tc>
      </w:tr>
      <w:tr>
        <w:tc>
          <w:tcPr>
            <w:tcW w:type="dxa" w:w="3312"/>
          </w:tcPr>
          <w:p>
            <w:r>
              <w:t>CT-004</w:t>
            </w:r>
          </w:p>
        </w:tc>
        <w:tc>
          <w:tcPr>
            <w:tcW w:type="dxa" w:w="3312"/>
          </w:tcPr>
          <w:p>
            <w:r>
              <w:t>OCR de PDF imagem</w:t>
            </w:r>
          </w:p>
        </w:tc>
        <w:tc>
          <w:tcPr>
            <w:tcW w:type="dxa" w:w="3312"/>
          </w:tcPr>
          <w:p>
            <w:r>
              <w:t>Texto extraído</w:t>
            </w:r>
          </w:p>
        </w:tc>
      </w:tr>
      <w:tr>
        <w:tc>
          <w:tcPr>
            <w:tcW w:type="dxa" w:w="3312"/>
          </w:tcPr>
          <w:p>
            <w:r>
              <w:t>CT-005</w:t>
            </w:r>
          </w:p>
        </w:tc>
        <w:tc>
          <w:tcPr>
            <w:tcW w:type="dxa" w:w="3312"/>
          </w:tcPr>
          <w:p>
            <w:r>
              <w:t>Extração de CNPJ</w:t>
            </w:r>
          </w:p>
        </w:tc>
        <w:tc>
          <w:tcPr>
            <w:tcW w:type="dxa" w:w="3312"/>
          </w:tcPr>
          <w:p>
            <w:r>
              <w:t>Campo localizado e validado</w:t>
            </w:r>
          </w:p>
        </w:tc>
      </w:tr>
      <w:tr>
        <w:tc>
          <w:tcPr>
            <w:tcW w:type="dxa" w:w="3312"/>
          </w:tcPr>
          <w:p>
            <w:r>
              <w:t>CT-006</w:t>
            </w:r>
          </w:p>
        </w:tc>
        <w:tc>
          <w:tcPr>
            <w:tcW w:type="dxa" w:w="3312"/>
          </w:tcPr>
          <w:p>
            <w:r>
              <w:t>Campo obrigatório ausente</w:t>
            </w:r>
          </w:p>
        </w:tc>
        <w:tc>
          <w:tcPr>
            <w:tcW w:type="dxa" w:w="3312"/>
          </w:tcPr>
          <w:p>
            <w:r>
              <w:t>Documento fica pendente/revisão</w:t>
            </w:r>
          </w:p>
        </w:tc>
      </w:tr>
      <w:tr>
        <w:tc>
          <w:tcPr>
            <w:tcW w:type="dxa" w:w="3312"/>
          </w:tcPr>
          <w:p>
            <w:r>
              <w:t>CT-007</w:t>
            </w:r>
          </w:p>
        </w:tc>
        <w:tc>
          <w:tcPr>
            <w:tcW w:type="dxa" w:w="3312"/>
          </w:tcPr>
          <w:p>
            <w:r>
              <w:t>Correção manual</w:t>
            </w:r>
          </w:p>
        </w:tc>
        <w:tc>
          <w:tcPr>
            <w:tcW w:type="dxa" w:w="3312"/>
          </w:tcPr>
          <w:p>
            <w:r>
              <w:t>Valor atualizado e auditado</w:t>
            </w:r>
          </w:p>
        </w:tc>
      </w:tr>
      <w:tr>
        <w:tc>
          <w:tcPr>
            <w:tcW w:type="dxa" w:w="3312"/>
          </w:tcPr>
          <w:p>
            <w:r>
              <w:t>CT-008</w:t>
            </w:r>
          </w:p>
        </w:tc>
        <w:tc>
          <w:tcPr>
            <w:tcW w:type="dxa" w:w="3312"/>
          </w:tcPr>
          <w:p>
            <w:r>
              <w:t>Exportação CSV</w:t>
            </w:r>
          </w:p>
        </w:tc>
        <w:tc>
          <w:tcPr>
            <w:tcW w:type="dxa" w:w="3312"/>
          </w:tcPr>
          <w:p>
            <w:r>
              <w:t>Arquivo correto e íntegro</w:t>
            </w:r>
          </w:p>
        </w:tc>
      </w:tr>
      <w:tr>
        <w:tc>
          <w:tcPr>
            <w:tcW w:type="dxa" w:w="3312"/>
          </w:tcPr>
          <w:p>
            <w:r>
              <w:t>CT-009</w:t>
            </w:r>
          </w:p>
        </w:tc>
        <w:tc>
          <w:tcPr>
            <w:tcW w:type="dxa" w:w="3312"/>
          </w:tcPr>
          <w:p>
            <w:r>
              <w:t>Consulta com filtros</w:t>
            </w:r>
          </w:p>
        </w:tc>
        <w:tc>
          <w:tcPr>
            <w:tcW w:type="dxa" w:w="3312"/>
          </w:tcPr>
          <w:p>
            <w:r>
              <w:t>Resultados corretos e paginados</w:t>
            </w:r>
          </w:p>
        </w:tc>
      </w:tr>
      <w:tr>
        <w:tc>
          <w:tcPr>
            <w:tcW w:type="dxa" w:w="3312"/>
          </w:tcPr>
          <w:p>
            <w:r>
              <w:t>CT-010</w:t>
            </w:r>
          </w:p>
        </w:tc>
        <w:tc>
          <w:tcPr>
            <w:tcW w:type="dxa" w:w="3312"/>
          </w:tcPr>
          <w:p>
            <w:r>
              <w:t>Controle de acesso</w:t>
            </w:r>
          </w:p>
        </w:tc>
        <w:tc>
          <w:tcPr>
            <w:tcW w:type="dxa" w:w="3312"/>
          </w:tcPr>
          <w:p>
            <w:r>
              <w:t>Usuário sem permissão recebe 403</w:t>
            </w:r>
          </w:p>
        </w:tc>
      </w:tr>
      <w:tr>
        <w:tc>
          <w:tcPr>
            <w:tcW w:type="dxa" w:w="3312"/>
          </w:tcPr>
          <w:p>
            <w:r>
              <w:t>CT-011</w:t>
            </w:r>
          </w:p>
        </w:tc>
        <w:tc>
          <w:tcPr>
            <w:tcW w:type="dxa" w:w="3312"/>
          </w:tcPr>
          <w:p>
            <w:r>
              <w:t>Workflow</w:t>
            </w:r>
          </w:p>
        </w:tc>
        <w:tc>
          <w:tcPr>
            <w:tcW w:type="dxa" w:w="3312"/>
          </w:tcPr>
          <w:p>
            <w:r>
              <w:t>Transições válidas registradas</w:t>
            </w:r>
          </w:p>
        </w:tc>
      </w:tr>
      <w:tr>
        <w:tc>
          <w:tcPr>
            <w:tcW w:type="dxa" w:w="3312"/>
          </w:tcPr>
          <w:p>
            <w:r>
              <w:t>CT-012</w:t>
            </w:r>
          </w:p>
        </w:tc>
        <w:tc>
          <w:tcPr>
            <w:tcW w:type="dxa" w:w="3312"/>
          </w:tcPr>
          <w:p>
            <w:r>
              <w:t>Falha de processador</w:t>
            </w:r>
          </w:p>
        </w:tc>
        <w:tc>
          <w:tcPr>
            <w:tcW w:type="dxa" w:w="3312"/>
          </w:tcPr>
          <w:p>
            <w:r>
              <w:t>Erro registrado sem interromper outros documentos</w:t>
            </w:r>
          </w:p>
        </w:tc>
      </w:tr>
    </w:tbl>
    <w:p/>
    <w:p>
      <w:pPr>
        <w:pStyle w:val="Heading1"/>
      </w:pPr>
      <w:r>
        <w:t>4. Metas de Qualidade</w:t>
      </w:r>
    </w:p>
    <w:p>
      <w:pPr>
        <w:pStyle w:val="ListBullet"/>
      </w:pPr>
      <w:r>
        <w:t>Cobertura unitária alvo: ≥ 80% para módulos críticos.</w:t>
      </w:r>
    </w:p>
    <w:p>
      <w:pPr>
        <w:pStyle w:val="ListBullet"/>
      </w:pPr>
      <w:r>
        <w:t>Zero defeitos críticos abertos para release.</w:t>
      </w:r>
    </w:p>
    <w:p>
      <w:pPr>
        <w:pStyle w:val="ListBullet"/>
      </w:pPr>
      <w:r>
        <w:t>Todos os requisitos Must Have com testes de aceitação.</w:t>
      </w:r>
    </w:p>
    <w:p>
      <w:pPr>
        <w:pStyle w:val="ListBullet"/>
      </w:pPr>
      <w:r>
        <w:t>Testes de segurança antes de produção.</w:t>
      </w:r>
    </w:p>
    <w:p>
      <w:pPr>
        <w:pStyle w:val="ListBullet"/>
      </w:pPr>
      <w:r>
        <w:t>Testes de performance para o volume definido no RNF-003.</w:t>
      </w:r>
    </w:p>
    <w:p>
      <w:pPr>
        <w:pStyle w:val="Heading1"/>
      </w:pPr>
      <w:r>
        <w:t>5. Estratégia de Regressão</w:t>
      </w:r>
    </w:p>
    <w:p>
      <w:r>
        <w:t>Toda alteração em processadores, regras, modelos, workflow ou banco deverá executar a suíte de regressão aplicável. Casos que falharem deverão bloquear a entrega até análise e decisão registrada.</w:t>
      </w:r>
    </w:p>
    <w:p>
      <w:pPr>
        <w:pStyle w:val="Heading1"/>
      </w:pPr>
      <w:r>
        <w:t>6. Evidências</w:t>
      </w:r>
    </w:p>
    <w:p>
      <w:pPr>
        <w:pStyle w:val="ListBullet"/>
      </w:pPr>
      <w:r>
        <w:t>Resultados de testes automatizados.</w:t>
      </w:r>
    </w:p>
    <w:p>
      <w:pPr>
        <w:pStyle w:val="ListBullet"/>
      </w:pPr>
      <w:r>
        <w:t>Logs de execução.</w:t>
      </w:r>
    </w:p>
    <w:p>
      <w:pPr>
        <w:pStyle w:val="ListBullet"/>
      </w:pPr>
      <w:r>
        <w:t>Relatórios de cobertura.</w:t>
      </w:r>
    </w:p>
    <w:p>
      <w:pPr>
        <w:pStyle w:val="ListBullet"/>
      </w:pPr>
      <w:r>
        <w:t>Evidências de testes de API.</w:t>
      </w:r>
    </w:p>
    <w:p>
      <w:pPr>
        <w:pStyle w:val="ListBullet"/>
      </w:pPr>
      <w:r>
        <w:t>Relatórios de performance e segurança.</w:t>
      </w:r>
    </w:p>
    <w:p>
      <w:pPr>
        <w:pStyle w:val="ListBullet"/>
      </w:pPr>
      <w:r>
        <w:t>Registro de defeitos e correções.</w:t>
      </w:r>
    </w:p>
    <w:p>
      <w:pPr>
        <w:pStyle w:val="Heading1"/>
      </w:pPr>
      <w:r>
        <w:t>7. Critérios de Entrada e Saída</w:t>
      </w:r>
    </w:p>
    <w:p>
      <w:r>
        <w:t>Entrada: requisitos aprovados, ambiente disponível, dados de teste e build identificada. Saída: testes planejados executados, defeitos críticos tratados, evidências armazenadas e critérios de aceitação aprovados.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