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3. Escopo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3.1 Escopo Inicial</w:t>
      </w:r>
    </w:p>
    <w:p>
      <w:r>
        <w:t>O sistema contemplará produtos, categorias, estoque e movimentações. Serão implementadas operações de cadastro, consulta, atualização e exclusão conforme as regras definidas, além de entradas, saídas, histórico e consultas de estoque.</w:t>
      </w:r>
    </w:p>
    <w:p>
      <w:pPr>
        <w:pStyle w:val="Heading1"/>
      </w:pPr>
      <w:r>
        <w:t>3.2 Fora do Escopo Inicial</w:t>
      </w:r>
    </w:p>
    <w:p>
      <w:r>
        <w:t>Integração com fornecedores, emissão de notas fiscais, pagamentos, integração com ERP externo, aplicativo mobile e inteligência artificial não fazem parte da primeira versão.</w:t>
      </w:r>
    </w:p>
    <w:p>
      <w:pPr>
        <w:pStyle w:val="Heading1"/>
      </w:pPr>
      <w:r>
        <w:t>3.3 Evolução</w:t>
      </w:r>
    </w:p>
    <w:p>
      <w:r>
        <w:t>A arquitetura deverá permitir autenticação, autorização, dashboards, integração com Power BI, previsão de demanda, alertas e integrações externas em versões futuras.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