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line="276" w:lineRule="auto" w:before="0" w:after="280"/>
        <w:ind w:left="0" w:right="0" w:firstLine="0"/>
        <w:jc w:val="center"/>
      </w:pPr>
      <w:r>
        <w:rPr>
          <w:rFonts w:ascii="Times New Roman" w:hAnsi="Times New Roman" w:eastAsia="Microsoft YaHei" w:cs="Times New Roman"/>
          <w:b/>
          <w:i w:val="0"/>
          <w:color w:val="111827"/>
          <w:sz w:val="40"/>
        </w:rPr>
        <w:t>Example Evidence-Grounded Paper — AI论文精读报告</w:t>
      </w:r>
    </w:p>
    <w:p>
      <w:pPr>
        <w:pStyle w:val="SDDsubtitle"/>
        <w:keepNext/>
        <w:spacing w:line="264" w:lineRule="auto" w:before="0" w:after="240"/>
        <w:ind w:left="0" w:right="0" w:firstLine="0"/>
        <w:jc w:val="center"/>
      </w:pPr>
      <w:r>
        <w:rPr>
          <w:rFonts w:ascii="Times New Roman" w:hAnsi="Times New Roman" w:eastAsia="Microsoft YaHei" w:cs="Times New Roman"/>
          <w:b w:val="0"/>
          <w:i w:val="0"/>
          <w:color w:val="4B5563"/>
          <w:sz w:val="22"/>
        </w:rPr>
        <w:t>Evidence-aware academic paper deep reading report</w:t>
      </w:r>
    </w:p>
    <w:tbl>
      <w:tblPr>
        <w:tblW w:type="auto" w:w="0"/>
        <w:jc w:val="center"/>
        <w:tblLayout w:type="autofit"/>
        <w:tblLook w:firstColumn="1" w:firstRow="1" w:lastColumn="0" w:lastRow="0" w:noHBand="0" w:noVBand="1" w:val="04A0"/>
      </w:tblPr>
      <w:tblGrid>
        <w:gridCol w:w="4479"/>
        <w:gridCol w:w="4479"/>
      </w:tblGrid>
      <w:tr>
        <w:trPr>
          <w:tblHeader w:val="true"/>
        </w:trPr>
        <w:tc>
          <w:tcPr>
            <w:tcW w:type="dxa" w:w="4479"/>
            <w:vAlign w:val="center"/>
            <w:tcBorders>
              <w:top w:val="single" w:sz="10" w:color="6B7280"/>
              <w:left w:val="nil"/>
              <w:bottom w:val="single" w:sz="6" w:color="6B7280"/>
              <w:right w:val="nil"/>
            </w:tcBorders>
          </w:tcPr>
          <w:p>
            <w:pPr>
              <w:keepNext/>
              <w:spacing w:line="264" w:lineRule="auto" w:before="0" w:after="0"/>
              <w:ind w:left="0" w:right="0" w:firstLine="0"/>
              <w:jc w:val="center"/>
            </w:pPr>
            <w:r/>
            <w:r>
              <w:rPr>
                <w:rFonts w:ascii="Times New Roman" w:hAnsi="Times New Roman" w:eastAsia="Microsoft YaHei" w:cs="Times New Roman"/>
                <w:b/>
                <w:i w:val="0"/>
                <w:color w:val="111827"/>
                <w:sz w:val="19"/>
              </w:rPr>
              <w:t>项目</w:t>
            </w:r>
          </w:p>
        </w:tc>
        <w:tc>
          <w:tcPr>
            <w:tcW w:type="dxa" w:w="4479"/>
            <w:vAlign w:val="center"/>
            <w:tcBorders>
              <w:top w:val="single" w:sz="10" w:color="6B7280"/>
              <w:left w:val="nil"/>
              <w:bottom w:val="single" w:sz="6" w:color="6B7280"/>
              <w:right w:val="nil"/>
            </w:tcBorders>
          </w:tcPr>
          <w:p>
            <w:pPr>
              <w:keepNext/>
              <w:spacing w:line="264" w:lineRule="auto" w:before="0" w:after="0"/>
              <w:ind w:left="0" w:right="0" w:firstLine="0"/>
              <w:jc w:val="center"/>
            </w:pPr>
            <w:r/>
            <w:r>
              <w:rPr>
                <w:rFonts w:ascii="Times New Roman" w:hAnsi="Times New Roman" w:eastAsia="Microsoft YaHei" w:cs="Times New Roman"/>
                <w:b/>
                <w:i w:val="0"/>
                <w:color w:val="111827"/>
                <w:sz w:val="19"/>
              </w:rPr>
              <w:t>内容</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作者</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A. Researcher, B. Scholar</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期刊/会议</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Example Journal</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年份</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2026</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DOI</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10.0000/example</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Evidence Grade</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E3_BODY_PLUS_ARTIFACTS</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材料覆盖</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sufficient</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证据定位</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structure_grounded</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外部核验</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paper_only</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分析类型</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deep_reading</w:t>
            </w:r>
          </w:p>
        </w:tc>
      </w:tr>
      <w:tr>
        <w:tc>
          <w:tcPr>
            <w:tcW w:type="dxa" w:w="4479"/>
            <w:vAlign w:val="center"/>
            <w:tcBorders>
              <w:top w:val="nil"/>
              <w:left w:val="nil"/>
              <w:bottom w:val="single" w:sz="10" w:color="6B7280"/>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精读Schema</w:t>
            </w:r>
          </w:p>
        </w:tc>
        <w:tc>
          <w:tcPr>
            <w:tcW w:type="dxa" w:w="4479"/>
            <w:vAlign w:val="center"/>
            <w:tcBorders>
              <w:top w:val="nil"/>
              <w:left w:val="nil"/>
              <w:bottom w:val="single" w:sz="10" w:color="6B7280"/>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1.2-alpha</w:t>
            </w:r>
          </w:p>
        </w:tc>
      </w:tr>
    </w:tbl>
    <w:p/>
    <w:p>
      <w:pPr>
        <w:keepNext/>
        <w:spacing w:line="276" w:lineRule="auto" w:before="280" w:after="140"/>
        <w:ind w:left="0" w:right="0" w:firstLine="0"/>
        <w:jc w:val="left"/>
      </w:pPr>
      <w:r>
        <w:rPr>
          <w:rFonts w:ascii="Times New Roman" w:hAnsi="Times New Roman" w:eastAsia="Microsoft YaHei" w:cs="Times New Roman"/>
          <w:b/>
          <w:i w:val="0"/>
          <w:color w:val="111827"/>
          <w:sz w:val="32"/>
        </w:rPr>
        <w:t>目录</w:t>
      </w:r>
    </w:p>
    <w:p>
      <w:pPr>
        <w:keepNext w:val="0"/>
        <w:spacing w:line="360" w:lineRule="auto" w:before="0" w:after="120"/>
        <w:ind w:left="227" w:right="0" w:firstLine="0"/>
        <w:jc w:val="left"/>
      </w:pPr>
      <w:r>
        <w:rPr>
          <w:rFonts w:ascii="Times New Roman" w:hAnsi="Times New Roman" w:eastAsia="SimSun" w:cs="Times New Roman"/>
          <w:b w:val="0"/>
          <w:i w:val="0"/>
          <w:color w:val="111827"/>
          <w:sz w:val="22"/>
        </w:rPr>
        <w:t>01 论文速览</w:t>
      </w:r>
    </w:p>
    <w:p>
      <w:pPr>
        <w:keepNext w:val="0"/>
        <w:spacing w:line="360" w:lineRule="auto" w:before="0" w:after="120"/>
        <w:ind w:left="227" w:right="0" w:firstLine="0"/>
        <w:jc w:val="left"/>
      </w:pPr>
      <w:r>
        <w:rPr>
          <w:rFonts w:ascii="Times New Roman" w:hAnsi="Times New Roman" w:eastAsia="SimSun" w:cs="Times New Roman"/>
          <w:b w:val="0"/>
          <w:i w:val="0"/>
          <w:color w:val="111827"/>
          <w:sz w:val="22"/>
        </w:rPr>
        <w:t>02 研究问题与 Gap</w:t>
      </w:r>
    </w:p>
    <w:p>
      <w:pPr>
        <w:keepNext w:val="0"/>
        <w:spacing w:line="360" w:lineRule="auto" w:before="0" w:after="120"/>
        <w:ind w:left="227" w:right="0" w:firstLine="0"/>
        <w:jc w:val="left"/>
      </w:pPr>
      <w:r>
        <w:rPr>
          <w:rFonts w:ascii="Times New Roman" w:hAnsi="Times New Roman" w:eastAsia="SimSun" w:cs="Times New Roman"/>
          <w:b w:val="0"/>
          <w:i w:val="0"/>
          <w:color w:val="111827"/>
          <w:sz w:val="22"/>
        </w:rPr>
        <w:t>03 核心方法与真实创新</w:t>
      </w:r>
    </w:p>
    <w:p>
      <w:pPr>
        <w:keepNext w:val="0"/>
        <w:spacing w:line="360" w:lineRule="auto" w:before="0" w:after="120"/>
        <w:ind w:left="227" w:right="0" w:firstLine="0"/>
        <w:jc w:val="left"/>
      </w:pPr>
      <w:r>
        <w:rPr>
          <w:rFonts w:ascii="Times New Roman" w:hAnsi="Times New Roman" w:eastAsia="SimSun" w:cs="Times New Roman"/>
          <w:b w:val="0"/>
          <w:i w:val="0"/>
          <w:color w:val="111827"/>
          <w:sz w:val="22"/>
        </w:rPr>
        <w:t>04 实验与证据</w:t>
      </w:r>
    </w:p>
    <w:p>
      <w:pPr>
        <w:keepNext w:val="0"/>
        <w:spacing w:line="360" w:lineRule="auto" w:before="0" w:after="120"/>
        <w:ind w:left="227" w:right="0" w:firstLine="0"/>
        <w:jc w:val="left"/>
      </w:pPr>
      <w:r>
        <w:rPr>
          <w:rFonts w:ascii="Times New Roman" w:hAnsi="Times New Roman" w:eastAsia="SimSun" w:cs="Times New Roman"/>
          <w:b w:val="0"/>
          <w:i w:val="0"/>
          <w:color w:val="111827"/>
          <w:sz w:val="22"/>
        </w:rPr>
        <w:t>05 批判性评价</w:t>
      </w:r>
    </w:p>
    <w:p>
      <w:pPr>
        <w:keepNext w:val="0"/>
        <w:spacing w:line="360" w:lineRule="auto" w:before="0" w:after="120"/>
        <w:ind w:left="227" w:right="0" w:firstLine="0"/>
        <w:jc w:val="left"/>
      </w:pPr>
      <w:r>
        <w:rPr>
          <w:rFonts w:ascii="Times New Roman" w:hAnsi="Times New Roman" w:eastAsia="SimSun" w:cs="Times New Roman"/>
          <w:b w:val="0"/>
          <w:i w:val="0"/>
          <w:color w:val="111827"/>
          <w:sz w:val="22"/>
        </w:rPr>
        <w:t>06 开放问题与精读建议</w:t>
      </w:r>
    </w:p>
    <w:p>
      <w:pPr>
        <w:keepNext w:val="0"/>
        <w:spacing w:line="360" w:lineRule="auto" w:before="0" w:after="120"/>
        <w:ind w:left="227" w:right="0" w:firstLine="0"/>
        <w:jc w:val="left"/>
      </w:pPr>
      <w:r>
        <w:rPr>
          <w:rFonts w:ascii="Times New Roman" w:hAnsi="Times New Roman" w:eastAsia="SimSun" w:cs="Times New Roman"/>
          <w:b w:val="0"/>
          <w:i w:val="0"/>
          <w:color w:val="111827"/>
          <w:sz w:val="22"/>
        </w:rPr>
        <w:t>全局材料限制</w:t>
      </w:r>
    </w:p>
    <w:p>
      <w:r>
        <w:br w:type="page"/>
      </w:r>
    </w:p>
    <w:p>
      <w:pPr>
        <w:pStyle w:val="Heading1"/>
        <w:keepNext/>
        <w:spacing w:line="276" w:lineRule="auto" w:before="280" w:after="140"/>
        <w:ind w:left="0" w:right="0" w:firstLine="0"/>
        <w:jc w:val="left"/>
      </w:pPr>
      <w:r>
        <w:rPr>
          <w:rFonts w:ascii="Times New Roman" w:hAnsi="Times New Roman" w:eastAsia="Microsoft YaHei" w:cs="Times New Roman"/>
          <w:b/>
          <w:i w:val="0"/>
          <w:color w:val="111827"/>
          <w:sz w:val="32"/>
        </w:rPr>
        <w:t>01 论文速览</w:t>
      </w:r>
    </w:p>
    <w:p>
      <w:pPr>
        <w:pStyle w:val="SDDlead"/>
        <w:keepNext w:val="0"/>
        <w:spacing w:line="348" w:lineRule="auto" w:before="0" w:after="160"/>
        <w:ind w:left="0" w:right="0" w:firstLine="0"/>
        <w:jc w:val="left"/>
      </w:pPr>
      <w:r>
        <w:rPr>
          <w:rFonts w:ascii="Times New Roman" w:hAnsi="Times New Roman" w:eastAsia="SimSun" w:cs="Times New Roman"/>
          <w:b w:val="0"/>
          <w:i w:val="0"/>
          <w:color w:val="111827"/>
          <w:sz w:val="23"/>
        </w:rPr>
        <w:t>该论文通过改变局部证据的聚合方式改善特定实验设置下的识别性能，但其领域普适性仍需进一步验证。</w:t>
      </w:r>
    </w:p>
    <w:tbl>
      <w:tblPr>
        <w:tblW w:type="auto" w:w="0"/>
        <w:jc w:val="center"/>
        <w:tblLayout w:type="autofit"/>
        <w:tblLook w:firstColumn="1" w:firstRow="1" w:lastColumn="0" w:lastRow="0" w:noHBand="0" w:noVBand="1" w:val="04A0"/>
      </w:tblPr>
      <w:tblGrid>
        <w:gridCol w:w="4479"/>
        <w:gridCol w:w="4479"/>
      </w:tblGrid>
      <w:tr>
        <w:trPr>
          <w:tblHeader w:val="true"/>
        </w:trPr>
        <w:tc>
          <w:tcPr>
            <w:tcW w:type="dxa" w:w="4479"/>
            <w:vAlign w:val="center"/>
            <w:tcBorders>
              <w:top w:val="single" w:sz="10" w:color="6B7280"/>
              <w:left w:val="nil"/>
              <w:bottom w:val="single" w:sz="6" w:color="6B7280"/>
              <w:right w:val="nil"/>
            </w:tcBorders>
          </w:tcPr>
          <w:p>
            <w:pPr>
              <w:keepNext/>
              <w:spacing w:line="264" w:lineRule="auto" w:before="0" w:after="0"/>
              <w:ind w:left="0" w:right="0" w:firstLine="0"/>
              <w:jc w:val="center"/>
            </w:pPr>
            <w:r/>
            <w:r>
              <w:rPr>
                <w:rFonts w:ascii="Times New Roman" w:hAnsi="Times New Roman" w:eastAsia="Microsoft YaHei" w:cs="Times New Roman"/>
                <w:b/>
                <w:i w:val="0"/>
                <w:color w:val="111827"/>
                <w:sz w:val="19"/>
              </w:rPr>
              <w:t>项目</w:t>
            </w:r>
          </w:p>
        </w:tc>
        <w:tc>
          <w:tcPr>
            <w:tcW w:type="dxa" w:w="4479"/>
            <w:vAlign w:val="center"/>
            <w:tcBorders>
              <w:top w:val="single" w:sz="10" w:color="6B7280"/>
              <w:left w:val="nil"/>
              <w:bottom w:val="single" w:sz="6" w:color="6B7280"/>
              <w:right w:val="nil"/>
            </w:tcBorders>
          </w:tcPr>
          <w:p>
            <w:pPr>
              <w:keepNext/>
              <w:spacing w:line="264" w:lineRule="auto" w:before="0" w:after="0"/>
              <w:ind w:left="0" w:right="0" w:firstLine="0"/>
              <w:jc w:val="center"/>
            </w:pPr>
            <w:r/>
            <w:r>
              <w:rPr>
                <w:rFonts w:ascii="Times New Roman" w:hAnsi="Times New Roman" w:eastAsia="Microsoft YaHei" w:cs="Times New Roman"/>
                <w:b/>
                <w:i w:val="0"/>
                <w:color w:val="111827"/>
                <w:sz w:val="19"/>
              </w:rPr>
              <w:t>判断</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整体证据支持</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moderate</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阅读优先级</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read_core_sections</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阅读建议</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重点阅读方法和核心对比实验。</w:t>
            </w:r>
          </w:p>
        </w:tc>
      </w:tr>
      <w:tr>
        <w:tc>
          <w:tcPr>
            <w:tcW w:type="dxa" w:w="4479"/>
            <w:vAlign w:val="center"/>
            <w:tcBorders>
              <w:top w:val="nil"/>
              <w:left w:val="nil"/>
              <w:bottom w:val="single" w:sz="10" w:color="6B7280"/>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适合读者</w:t>
            </w:r>
          </w:p>
        </w:tc>
        <w:tc>
          <w:tcPr>
            <w:tcW w:type="dxa" w:w="4479"/>
            <w:vAlign w:val="center"/>
            <w:tcBorders>
              <w:top w:val="nil"/>
              <w:left w:val="nil"/>
              <w:bottom w:val="single" w:sz="10" w:color="6B7280"/>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方法研究者；少样本学习研究者</w:t>
            </w:r>
          </w:p>
        </w:tc>
      </w:tr>
    </w:tbl>
    <w:p>
      <w:pPr>
        <w:pStyle w:val="SDDcaption"/>
        <w:keepNext w:val="0"/>
        <w:spacing w:line="264" w:lineRule="auto" w:before="60" w:after="140"/>
        <w:ind w:left="0" w:right="0" w:firstLine="0"/>
        <w:jc w:val="center"/>
      </w:pPr>
      <w:r>
        <w:rPr>
          <w:rFonts w:ascii="Times New Roman" w:hAnsi="Times New Roman" w:eastAsia="SimSun" w:cs="Times New Roman"/>
          <w:b w:val="0"/>
          <w:i w:val="0"/>
          <w:color w:val="374151"/>
          <w:sz w:val="19"/>
        </w:rPr>
        <w:t>研究价值</w:t>
      </w:r>
    </w:p>
    <w:tbl>
      <w:tblPr>
        <w:tblW w:type="auto" w:w="0"/>
        <w:jc w:val="center"/>
        <w:tblLayout w:type="autofit"/>
        <w:tblLook w:firstColumn="1" w:firstRow="1" w:lastColumn="0" w:lastRow="0" w:noHBand="0" w:noVBand="1" w:val="04A0"/>
      </w:tblPr>
      <w:tblGrid>
        <w:gridCol w:w="2986"/>
        <w:gridCol w:w="2986"/>
        <w:gridCol w:w="2986"/>
      </w:tblGrid>
      <w:tr>
        <w:trPr>
          <w:tblHeader w:val="true"/>
        </w:trPr>
        <w:tc>
          <w:tcPr>
            <w:tcW w:type="dxa" w:w="2986"/>
            <w:vAlign w:val="center"/>
            <w:tcBorders>
              <w:top w:val="single" w:sz="10" w:color="6B7280"/>
              <w:left w:val="nil"/>
              <w:bottom w:val="single" w:sz="6" w:color="6B7280"/>
              <w:right w:val="nil"/>
            </w:tcBorders>
          </w:tcPr>
          <w:p>
            <w:pPr>
              <w:keepNext/>
              <w:spacing w:line="264" w:lineRule="auto" w:before="0" w:after="0"/>
              <w:ind w:left="0" w:right="0" w:firstLine="0"/>
              <w:jc w:val="center"/>
            </w:pPr>
            <w:r/>
            <w:r>
              <w:rPr>
                <w:rFonts w:ascii="Times New Roman" w:hAnsi="Times New Roman" w:eastAsia="Microsoft YaHei" w:cs="Times New Roman"/>
                <w:b/>
                <w:i w:val="0"/>
                <w:color w:val="111827"/>
                <w:sz w:val="19"/>
              </w:rPr>
              <w:t>维度</w:t>
            </w:r>
          </w:p>
        </w:tc>
        <w:tc>
          <w:tcPr>
            <w:tcW w:type="dxa" w:w="2986"/>
            <w:vAlign w:val="center"/>
            <w:tcBorders>
              <w:top w:val="single" w:sz="10" w:color="6B7280"/>
              <w:left w:val="nil"/>
              <w:bottom w:val="single" w:sz="6" w:color="6B7280"/>
              <w:right w:val="nil"/>
            </w:tcBorders>
          </w:tcPr>
          <w:p>
            <w:pPr>
              <w:keepNext/>
              <w:spacing w:line="264" w:lineRule="auto" w:before="0" w:after="0"/>
              <w:ind w:left="0" w:right="0" w:firstLine="0"/>
              <w:jc w:val="center"/>
            </w:pPr>
            <w:r/>
            <w:r>
              <w:rPr>
                <w:rFonts w:ascii="Times New Roman" w:hAnsi="Times New Roman" w:eastAsia="Microsoft YaHei" w:cs="Times New Roman"/>
                <w:b/>
                <w:i w:val="0"/>
                <w:color w:val="111827"/>
                <w:sz w:val="19"/>
              </w:rPr>
              <w:t>等级</w:t>
            </w:r>
          </w:p>
        </w:tc>
        <w:tc>
          <w:tcPr>
            <w:tcW w:type="dxa" w:w="2986"/>
            <w:vAlign w:val="center"/>
            <w:tcBorders>
              <w:top w:val="single" w:sz="10" w:color="6B7280"/>
              <w:left w:val="nil"/>
              <w:bottom w:val="single" w:sz="6" w:color="6B7280"/>
              <w:right w:val="nil"/>
            </w:tcBorders>
          </w:tcPr>
          <w:p>
            <w:pPr>
              <w:keepNext/>
              <w:spacing w:line="264" w:lineRule="auto" w:before="0" w:after="0"/>
              <w:ind w:left="0" w:right="0" w:firstLine="0"/>
              <w:jc w:val="center"/>
            </w:pPr>
            <w:r/>
            <w:r>
              <w:rPr>
                <w:rFonts w:ascii="Times New Roman" w:hAnsi="Times New Roman" w:eastAsia="Microsoft YaHei" w:cs="Times New Roman"/>
                <w:b/>
                <w:i w:val="0"/>
                <w:color w:val="111827"/>
                <w:sz w:val="19"/>
              </w:rPr>
              <w:t>理由</w:t>
            </w:r>
          </w:p>
        </w:tc>
      </w:tr>
      <w:tr>
        <w:tc>
          <w:tcPr>
            <w:tcW w:type="dxa" w:w="2986"/>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方法学价值</w:t>
            </w:r>
          </w:p>
        </w:tc>
        <w:tc>
          <w:tcPr>
            <w:tcW w:type="dxa" w:w="2986"/>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high</w:t>
            </w:r>
          </w:p>
        </w:tc>
        <w:tc>
          <w:tcPr>
            <w:tcW w:type="dxa" w:w="2986"/>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方法结构清晰，适合研究局部证据聚合。</w:t>
            </w:r>
          </w:p>
        </w:tc>
      </w:tr>
      <w:tr>
        <w:tc>
          <w:tcPr>
            <w:tcW w:type="dxa" w:w="2986"/>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实证价值</w:t>
            </w:r>
          </w:p>
        </w:tc>
        <w:tc>
          <w:tcPr>
            <w:tcW w:type="dxa" w:w="2986"/>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medium</w:t>
            </w:r>
          </w:p>
        </w:tc>
        <w:tc>
          <w:tcPr>
            <w:tcW w:type="dxa" w:w="2986"/>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实验覆盖主要 benchmark，但外部验证有限。</w:t>
            </w:r>
          </w:p>
        </w:tc>
      </w:tr>
      <w:tr>
        <w:tc>
          <w:tcPr>
            <w:tcW w:type="dxa" w:w="2986"/>
            <w:vAlign w:val="center"/>
            <w:tcBorders>
              <w:top w:val="nil"/>
              <w:left w:val="nil"/>
              <w:bottom w:val="single" w:sz="10" w:color="6B7280"/>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应用价值</w:t>
            </w:r>
          </w:p>
        </w:tc>
        <w:tc>
          <w:tcPr>
            <w:tcW w:type="dxa" w:w="2986"/>
            <w:vAlign w:val="center"/>
            <w:tcBorders>
              <w:top w:val="nil"/>
              <w:left w:val="nil"/>
              <w:bottom w:val="single" w:sz="10" w:color="6B7280"/>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medium</w:t>
            </w:r>
          </w:p>
        </w:tc>
        <w:tc>
          <w:tcPr>
            <w:tcW w:type="dxa" w:w="2986"/>
            <w:vAlign w:val="center"/>
            <w:tcBorders>
              <w:top w:val="nil"/>
              <w:left w:val="nil"/>
              <w:bottom w:val="single" w:sz="10" w:color="6B7280"/>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方法可迁移性需要跨域验证。</w:t>
            </w:r>
          </w:p>
        </w:tc>
      </w:tr>
    </w:tbl>
    <w:p>
      <w:pPr>
        <w:pStyle w:val="Heading1"/>
        <w:keepNext/>
        <w:spacing w:line="276" w:lineRule="auto" w:before="280" w:after="140"/>
        <w:ind w:left="0" w:right="0" w:firstLine="0"/>
        <w:jc w:val="left"/>
      </w:pPr>
      <w:r>
        <w:rPr>
          <w:rFonts w:ascii="Times New Roman" w:hAnsi="Times New Roman" w:eastAsia="Microsoft YaHei" w:cs="Times New Roman"/>
          <w:b/>
          <w:i w:val="0"/>
          <w:color w:val="111827"/>
          <w:sz w:val="32"/>
        </w:rPr>
        <w:t>02 研究问题与 Gap</w:t>
      </w:r>
    </w:p>
    <w:p>
      <w:pPr>
        <w:keepNext w:val="0"/>
        <w:spacing w:line="360" w:lineRule="auto" w:before="0" w:after="120"/>
        <w:ind w:left="0" w:right="0" w:firstLine="440"/>
        <w:jc w:val="left"/>
      </w:pPr>
      <w:r>
        <w:rPr>
          <w:rFonts w:ascii="Times New Roman" w:hAnsi="Times New Roman" w:eastAsia="SimSun" w:cs="Times New Roman"/>
          <w:b w:val="0"/>
          <w:i w:val="0"/>
          <w:color w:val="111827"/>
          <w:sz w:val="22"/>
        </w:rPr>
        <w:t>作者表述：[reported] 现有方法可能因为全局聚合而丢失局部判别信息。</w:t>
      </w: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pStyle w:val="SDDanalysis"/>
        <w:keepNext w:val="0"/>
        <w:spacing w:line="336" w:lineRule="auto" w:before="0" w:after="0"/>
        <w:ind w:left="0" w:right="0" w:firstLine="0"/>
        <w:jc w:val="left"/>
      </w:pPr>
      <w:r>
        <w:rPr>
          <w:rFonts w:ascii="Times New Roman" w:hAnsi="Times New Roman" w:eastAsia="SimSun" w:cs="Times New Roman"/>
          <w:b w:val="0"/>
          <w:i w:val="0"/>
          <w:color w:val="1F2937"/>
          <w:sz w:val="21"/>
        </w:rPr>
        <w:t>实际问题：[inferred] 论文实际修改的是相似度计算中的局部证据聚合机制。</w:t>
      </w: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keepNext w:val="0"/>
        <w:spacing w:line="360" w:lineRule="auto" w:before="0" w:after="120"/>
        <w:ind w:left="0" w:right="0" w:firstLine="440"/>
        <w:jc w:val="left"/>
      </w:pPr>
      <w:r>
        <w:rPr>
          <w:rFonts w:ascii="Times New Roman" w:hAnsi="Times New Roman" w:eastAsia="SimSun" w:cs="Times New Roman"/>
          <w:b w:val="0"/>
          <w:i w:val="0"/>
          <w:color w:val="111827"/>
          <w:sz w:val="22"/>
        </w:rPr>
        <w:t>论文声称的 Gap：[reported] 局部信息利用不足。</w:t>
      </w: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pStyle w:val="SDDanalysis"/>
        <w:keepNext w:val="0"/>
        <w:spacing w:line="336" w:lineRule="auto" w:before="0" w:after="0"/>
        <w:ind w:left="0" w:right="0" w:firstLine="0"/>
        <w:jc w:val="left"/>
      </w:pPr>
      <w:r>
        <w:rPr>
          <w:rFonts w:ascii="Times New Roman" w:hAnsi="Times New Roman" w:eastAsia="SimSun" w:cs="Times New Roman"/>
          <w:b w:val="0"/>
          <w:i w:val="0"/>
          <w:color w:val="1F2937"/>
          <w:sz w:val="21"/>
        </w:rPr>
        <w:t>Gap 判断：[inferred] 该 Gap 在本文任务设置中具有合理性，但不能自动外推到所有视觉任务。</w:t>
      </w: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pStyle w:val="Heading1"/>
        <w:keepNext/>
        <w:spacing w:line="276" w:lineRule="auto" w:before="280" w:after="140"/>
        <w:ind w:left="0" w:right="0" w:firstLine="0"/>
        <w:jc w:val="left"/>
      </w:pPr>
      <w:r>
        <w:rPr>
          <w:rFonts w:ascii="Times New Roman" w:hAnsi="Times New Roman" w:eastAsia="Microsoft YaHei" w:cs="Times New Roman"/>
          <w:b/>
          <w:i w:val="0"/>
          <w:color w:val="111827"/>
          <w:sz w:val="32"/>
        </w:rPr>
        <w:t>03 核心方法与真实创新</w:t>
      </w:r>
    </w:p>
    <w:p>
      <w:pPr>
        <w:keepNext w:val="0"/>
        <w:spacing w:line="360" w:lineRule="auto" w:before="0" w:after="120"/>
        <w:ind w:left="0" w:right="0" w:firstLine="440"/>
        <w:jc w:val="left"/>
      </w:pPr>
      <w:r>
        <w:rPr>
          <w:rFonts w:ascii="Times New Roman" w:hAnsi="Times New Roman" w:eastAsia="SimSun" w:cs="Times New Roman"/>
          <w:b w:val="0"/>
          <w:i w:val="0"/>
          <w:color w:val="111827"/>
          <w:sz w:val="22"/>
        </w:rPr>
        <w:t>方法概述：[reported] 方法保留局部表示并改变匹配聚合方式。</w:t>
      </w: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keepNext w:val="0"/>
        <w:spacing w:line="360" w:lineRule="auto" w:before="0" w:after="120"/>
        <w:ind w:left="0" w:right="0" w:firstLine="440"/>
        <w:jc w:val="left"/>
      </w:pPr>
      <w:r>
        <w:rPr>
          <w:rFonts w:ascii="Times New Roman" w:hAnsi="Times New Roman" w:eastAsia="SimSun" w:cs="Times New Roman"/>
          <w:b w:val="0"/>
          <w:i w:val="0"/>
          <w:color w:val="111827"/>
          <w:sz w:val="22"/>
        </w:rPr>
        <w:t>Previous：[reported] 以全局表征完成相似度比较。</w:t>
      </w: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keepNext w:val="0"/>
        <w:spacing w:line="360" w:lineRule="auto" w:before="0" w:after="120"/>
        <w:ind w:left="0" w:right="0" w:firstLine="440"/>
        <w:jc w:val="left"/>
      </w:pPr>
      <w:r>
        <w:rPr>
          <w:rFonts w:ascii="Times New Roman" w:hAnsi="Times New Roman" w:eastAsia="SimSun" w:cs="Times New Roman"/>
          <w:b w:val="0"/>
          <w:i w:val="0"/>
          <w:color w:val="111827"/>
          <w:sz w:val="22"/>
        </w:rPr>
        <w:t>Proposed：[reported] 保留局部证据并进行类别级聚合。</w:t>
      </w: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keepNext w:val="0"/>
        <w:spacing w:line="360" w:lineRule="auto" w:before="0" w:after="120"/>
        <w:ind w:left="0" w:right="0" w:firstLine="440"/>
        <w:jc w:val="left"/>
      </w:pPr>
      <w:r>
        <w:rPr>
          <w:rFonts w:ascii="Times New Roman" w:hAnsi="Times New Roman" w:eastAsia="SimSun" w:cs="Times New Roman"/>
          <w:b w:val="0"/>
          <w:i w:val="0"/>
          <w:color w:val="111827"/>
          <w:sz w:val="22"/>
        </w:rPr>
        <w:t>Mechanism：[inferred] 局部匹配结果被累积为最终类别得分。</w:t>
      </w: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keepNext w:val="0"/>
        <w:spacing w:line="360" w:lineRule="auto" w:before="0" w:after="120"/>
        <w:ind w:left="0" w:right="0" w:firstLine="440"/>
        <w:jc w:val="left"/>
      </w:pPr>
      <w:r>
        <w:rPr>
          <w:rFonts w:ascii="Times New Roman" w:hAnsi="Times New Roman" w:eastAsia="SimSun" w:cs="Times New Roman"/>
          <w:b w:val="0"/>
          <w:i w:val="0"/>
          <w:color w:val="111827"/>
          <w:sz w:val="22"/>
        </w:rPr>
        <w:t>Expected Effect：[inferred] 减少局部判别信息在全局压缩中的损失。</w:t>
      </w: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pStyle w:val="Heading2"/>
        <w:keepNext/>
        <w:spacing w:line="276" w:lineRule="auto" w:before="200" w:after="100"/>
        <w:ind w:left="0" w:right="0" w:firstLine="0"/>
        <w:jc w:val="left"/>
      </w:pPr>
      <w:r>
        <w:rPr>
          <w:rFonts w:ascii="Times New Roman" w:hAnsi="Times New Roman" w:eastAsia="Microsoft YaHei" w:cs="Times New Roman"/>
          <w:b/>
          <w:i w:val="0"/>
          <w:color w:val="1F2937"/>
          <w:sz w:val="27"/>
        </w:rPr>
        <w:t>核心模块</w:t>
      </w:r>
    </w:p>
    <w:p>
      <w:pPr>
        <w:pStyle w:val="Heading3"/>
        <w:keepNext/>
        <w:spacing w:line="276" w:lineRule="auto" w:before="160" w:after="80"/>
        <w:ind w:left="0" w:right="0" w:firstLine="0"/>
        <w:jc w:val="left"/>
      </w:pPr>
      <w:r>
        <w:rPr>
          <w:rFonts w:ascii="Times New Roman" w:hAnsi="Times New Roman" w:eastAsia="Microsoft YaHei" w:cs="Times New Roman"/>
          <w:b/>
          <w:i w:val="0"/>
          <w:color w:val="374151"/>
          <w:sz w:val="23"/>
        </w:rPr>
        <w:t>1. Local Evidence Matcher</w:t>
      </w:r>
    </w:p>
    <w:tbl>
      <w:tblPr>
        <w:tblW w:type="auto" w:w="0"/>
        <w:jc w:val="center"/>
        <w:tblLayout w:type="autofit"/>
        <w:tblLook w:firstColumn="1" w:firstRow="1" w:lastColumn="0" w:lastRow="0" w:noHBand="0" w:noVBand="1" w:val="04A0"/>
      </w:tblPr>
      <w:tblGrid>
        <w:gridCol w:w="4479"/>
        <w:gridCol w:w="4479"/>
      </w:tblGrid>
      <w:tr>
        <w:trPr>
          <w:tblHeader w:val="true"/>
        </w:trPr>
        <w:tc>
          <w:tcPr>
            <w:tcW w:type="dxa" w:w="4479"/>
            <w:vAlign w:val="center"/>
            <w:tcBorders>
              <w:top w:val="single" w:sz="10" w:color="6B7280"/>
              <w:left w:val="nil"/>
              <w:bottom w:val="single" w:sz="6" w:color="6B7280"/>
              <w:right w:val="nil"/>
            </w:tcBorders>
          </w:tcPr>
          <w:p>
            <w:pPr>
              <w:keepNext/>
              <w:spacing w:line="264" w:lineRule="auto" w:before="0" w:after="0"/>
              <w:ind w:left="0" w:right="0" w:firstLine="0"/>
              <w:jc w:val="center"/>
            </w:pPr>
            <w:r/>
            <w:r>
              <w:rPr>
                <w:rFonts w:ascii="Times New Roman" w:hAnsi="Times New Roman" w:eastAsia="Microsoft YaHei" w:cs="Times New Roman"/>
                <w:b/>
                <w:i w:val="0"/>
                <w:color w:val="111827"/>
                <w:sz w:val="19"/>
              </w:rPr>
              <w:t>项目</w:t>
            </w:r>
          </w:p>
        </w:tc>
        <w:tc>
          <w:tcPr>
            <w:tcW w:type="dxa" w:w="4479"/>
            <w:vAlign w:val="center"/>
            <w:tcBorders>
              <w:top w:val="single" w:sz="10" w:color="6B7280"/>
              <w:left w:val="nil"/>
              <w:bottom w:val="single" w:sz="6" w:color="6B7280"/>
              <w:right w:val="nil"/>
            </w:tcBorders>
          </w:tcPr>
          <w:p>
            <w:pPr>
              <w:keepNext/>
              <w:spacing w:line="264" w:lineRule="auto" w:before="0" w:after="0"/>
              <w:ind w:left="0" w:right="0" w:firstLine="0"/>
              <w:jc w:val="center"/>
            </w:pPr>
            <w:r/>
            <w:r>
              <w:rPr>
                <w:rFonts w:ascii="Times New Roman" w:hAnsi="Times New Roman" w:eastAsia="Microsoft YaHei" w:cs="Times New Roman"/>
                <w:b/>
                <w:i w:val="0"/>
                <w:color w:val="111827"/>
                <w:sz w:val="19"/>
              </w:rPr>
              <w:t>内容</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作用</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保留局部证据</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输入</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query descriptors and support descriptors</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操作</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local matching and score aggregation</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输出</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class-level score</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为什么需要</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避免单一全局向量完全承担匹配</w:t>
            </w:r>
          </w:p>
        </w:tc>
      </w:tr>
      <w:tr>
        <w:tc>
          <w:tcPr>
            <w:tcW w:type="dxa" w:w="4479"/>
            <w:vAlign w:val="center"/>
            <w:tcBorders>
              <w:top w:val="nil"/>
              <w:left w:val="nil"/>
              <w:bottom w:val="single" w:sz="10" w:color="6B7280"/>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实验证据</w:t>
            </w:r>
          </w:p>
        </w:tc>
        <w:tc>
          <w:tcPr>
            <w:tcW w:type="dxa" w:w="4479"/>
            <w:vAlign w:val="center"/>
            <w:tcBorders>
              <w:top w:val="nil"/>
              <w:left w:val="nil"/>
              <w:bottom w:val="single" w:sz="10" w:color="6B7280"/>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Table 2 provides direct comparison</w:t>
            </w:r>
          </w:p>
        </w:tc>
      </w:tr>
    </w:tbl>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The proposed method outperforms the reported baselines under the tested setting.</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ev-002</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Experiments · Table 2</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table</w:t>
            </w:r>
          </w:p>
        </w:tc>
      </w:tr>
    </w:tbl>
    <w:p>
      <w:pPr>
        <w:spacing w:after="0"/>
      </w:pPr>
    </w:p>
    <w:p>
      <w:pPr>
        <w:pStyle w:val="Heading2"/>
        <w:keepNext/>
        <w:spacing w:line="276" w:lineRule="auto" w:before="200" w:after="100"/>
        <w:ind w:left="0" w:right="0" w:firstLine="0"/>
        <w:jc w:val="left"/>
      </w:pPr>
      <w:r>
        <w:rPr>
          <w:rFonts w:ascii="Times New Roman" w:hAnsi="Times New Roman" w:eastAsia="Microsoft YaHei" w:cs="Times New Roman"/>
          <w:b/>
          <w:i w:val="0"/>
          <w:color w:val="1F2937"/>
          <w:sz w:val="27"/>
        </w:rPr>
        <w:t>关键假设</w:t>
      </w:r>
    </w:p>
    <w:tbl>
      <w:tblPr>
        <w:tblW w:type="auto" w:w="0"/>
        <w:tblLayout w:type="autofit"/>
        <w:tblLook w:firstColumn="1" w:firstRow="1" w:lastColumn="0" w:lastRow="0" w:noHBand="0" w:noVBand="1" w:val="04A0"/>
      </w:tblPr>
      <w:tblGrid>
        <w:gridCol w:w="8958"/>
      </w:tblGrid>
      <w:tr>
        <w:trPr>
          <w:cantSplit/>
        </w:trPr>
        <w:tc>
          <w:tcPr>
            <w:tcW w:type="dxa" w:w="8958"/>
            <w:shd w:fill="FFF7ED"/>
            <w:tcBorders>
              <w:top w:val="nil"/>
              <w:left w:val="single" w:sz="18" w:color="EA580C"/>
              <w:bottom w:val="nil"/>
              <w:right w:val="nil"/>
            </w:tcBorders>
          </w:tcPr>
          <w:p>
            <w:pPr>
              <w:keepNext w:val="0"/>
              <w:spacing w:line="336" w:lineRule="auto" w:before="0" w:after="0"/>
              <w:ind w:left="0" w:right="0" w:firstLine="0"/>
              <w:jc w:val="left"/>
            </w:pPr>
            <w:r/>
            <w:r>
              <w:rPr>
                <w:rFonts w:ascii="Times New Roman" w:hAnsi="Times New Roman" w:eastAsia="SimSun" w:cs="Times New Roman"/>
                <w:b/>
                <w:i w:val="0"/>
                <w:color w:val="78350F"/>
                <w:sz w:val="21"/>
              </w:rPr>
              <w:t>关键假设</w:t>
              <w:br/>
            </w:r>
            <w:r>
              <w:rPr>
                <w:rFonts w:ascii="Times New Roman" w:hAnsi="Times New Roman" w:eastAsia="SimSun" w:cs="Times New Roman"/>
                <w:b w:val="0"/>
                <w:i w:val="0"/>
                <w:color w:val="78350F"/>
                <w:sz w:val="21"/>
              </w:rPr>
              <w:t>A1 局部描述子的相似度能够反映类别相关信息。</w:t>
              <w:br/>
              <w:t>来源性质：inferred；风险：high；失效后果：如果背景局部区域产生大量伪相似，类别得分可能被错误累积。</w:t>
            </w:r>
          </w:p>
        </w:tc>
      </w:tr>
    </w:tbl>
    <w:p>
      <w:pPr>
        <w:spacing w:after="0"/>
      </w:pP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pStyle w:val="Heading2"/>
        <w:keepNext/>
        <w:spacing w:line="276" w:lineRule="auto" w:before="200" w:after="100"/>
        <w:ind w:left="0" w:right="0" w:firstLine="0"/>
        <w:jc w:val="left"/>
      </w:pPr>
      <w:r>
        <w:rPr>
          <w:rFonts w:ascii="Times New Roman" w:hAnsi="Times New Roman" w:eastAsia="Microsoft YaHei" w:cs="Times New Roman"/>
          <w:b/>
          <w:i w:val="0"/>
          <w:color w:val="1F2937"/>
          <w:sz w:val="27"/>
        </w:rPr>
        <w:t>创新判断</w:t>
      </w:r>
    </w:p>
    <w:p>
      <w:pPr>
        <w:pStyle w:val="SDDanalysis"/>
        <w:keepNext w:val="0"/>
        <w:spacing w:line="336" w:lineRule="auto" w:before="0" w:after="0"/>
        <w:ind w:left="0" w:right="0" w:firstLine="0"/>
        <w:jc w:val="left"/>
      </w:pPr>
      <w:r>
        <w:rPr>
          <w:rFonts w:ascii="Times New Roman" w:hAnsi="Times New Roman" w:eastAsia="SimSun" w:cs="Times New Roman"/>
          <w:b w:val="0"/>
          <w:i w:val="0"/>
          <w:color w:val="1F2937"/>
          <w:sz w:val="21"/>
        </w:rPr>
        <w:t>相对本文 prior work 的变化：相对于论文讨论的全局匹配基线，本文保留并聚合局部证据。</w:t>
      </w:r>
    </w:p>
    <w:tbl>
      <w:tblPr>
        <w:tblW w:type="auto" w:w="0"/>
        <w:tblLayout w:type="autofit"/>
        <w:tblLook w:firstColumn="1" w:firstRow="1" w:lastColumn="0" w:lastRow="0" w:noHBand="0" w:noVBand="1" w:val="04A0"/>
      </w:tblPr>
      <w:tblGrid>
        <w:gridCol w:w="8958"/>
      </w:tblGrid>
      <w:tr>
        <w:trPr>
          <w:cantSplit/>
        </w:trPr>
        <w:tc>
          <w:tcPr>
            <w:tcW w:type="dxa" w:w="8958"/>
            <w:shd w:fill="F9FAFB"/>
            <w:tcBorders>
              <w:top w:val="nil"/>
              <w:left w:val="single" w:sz="18" w:color="9CA3AF"/>
              <w:bottom w:val="nil"/>
              <w:right w:val="nil"/>
            </w:tcBorders>
          </w:tcPr>
          <w:p>
            <w:pPr>
              <w:keepNext w:val="0"/>
              <w:spacing w:line="312" w:lineRule="auto" w:before="0" w:after="0"/>
              <w:ind w:left="0" w:right="0" w:firstLine="0"/>
              <w:jc w:val="left"/>
            </w:pPr>
            <w:r/>
            <w:r>
              <w:rPr>
                <w:rFonts w:ascii="Times New Roman" w:hAnsi="Times New Roman" w:eastAsia="SimSun" w:cs="Times New Roman"/>
                <w:b/>
                <w:i w:val="0"/>
                <w:color w:val="4B5563"/>
                <w:sz w:val="20"/>
              </w:rPr>
              <w:t>Novelty Verification</w:t>
              <w:br/>
            </w:r>
            <w:r>
              <w:rPr>
                <w:rFonts w:ascii="Times New Roman" w:hAnsi="Times New Roman" w:eastAsia="SimSun" w:cs="Times New Roman"/>
                <w:b w:val="0"/>
                <w:i w:val="0"/>
                <w:color w:val="4B5563"/>
                <w:sz w:val="20"/>
              </w:rPr>
              <w:t>not_externally_verified</w:t>
            </w:r>
          </w:p>
        </w:tc>
      </w:tr>
    </w:tbl>
    <w:p>
      <w:pPr>
        <w:spacing w:after="0"/>
      </w:pP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pStyle w:val="Heading1"/>
        <w:keepNext/>
        <w:spacing w:line="276" w:lineRule="auto" w:before="280" w:after="140"/>
        <w:ind w:left="0" w:right="0" w:firstLine="0"/>
        <w:jc w:val="left"/>
      </w:pPr>
      <w:r>
        <w:rPr>
          <w:rFonts w:ascii="Times New Roman" w:hAnsi="Times New Roman" w:eastAsia="Microsoft YaHei" w:cs="Times New Roman"/>
          <w:b/>
          <w:i w:val="0"/>
          <w:color w:val="111827"/>
          <w:sz w:val="32"/>
        </w:rPr>
        <w:t>04 实验与证据</w:t>
      </w:r>
    </w:p>
    <w:p>
      <w:pPr>
        <w:pStyle w:val="Heading2"/>
        <w:keepNext/>
        <w:spacing w:line="276" w:lineRule="auto" w:before="200" w:after="100"/>
        <w:ind w:left="0" w:right="0" w:firstLine="0"/>
        <w:jc w:val="left"/>
      </w:pPr>
      <w:r>
        <w:rPr>
          <w:rFonts w:ascii="Times New Roman" w:hAnsi="Times New Roman" w:eastAsia="Microsoft YaHei" w:cs="Times New Roman"/>
          <w:b/>
          <w:i w:val="0"/>
          <w:color w:val="1F2937"/>
          <w:sz w:val="27"/>
        </w:rPr>
        <w:t>主要结果</w:t>
      </w:r>
    </w:p>
    <w:p>
      <w:pPr>
        <w:keepNext w:val="0"/>
        <w:spacing w:line="360" w:lineRule="auto" w:before="0" w:after="120"/>
        <w:ind w:left="0" w:right="0" w:firstLine="440"/>
        <w:jc w:val="left"/>
      </w:pPr>
      <w:r>
        <w:rPr>
          <w:rFonts w:ascii="Times New Roman" w:hAnsi="Times New Roman" w:eastAsia="SimSun" w:cs="Times New Roman"/>
          <w:b w:val="0"/>
          <w:i w:val="0"/>
          <w:color w:val="111827"/>
          <w:sz w:val="22"/>
        </w:rPr>
        <w:t>结果 1：[reported] 在论文报告的主要实验设置中，方法优于所列基线。</w:t>
      </w: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The proposed method outperforms the reported baselines under the tested setting.</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ev-002</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Experiments · Table 2</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table</w:t>
            </w:r>
          </w:p>
        </w:tc>
      </w:tr>
    </w:tbl>
    <w:p>
      <w:pPr>
        <w:spacing w:after="0"/>
      </w:pPr>
    </w:p>
    <w:p>
      <w:pPr>
        <w:pStyle w:val="Heading2"/>
        <w:keepNext/>
        <w:spacing w:line="276" w:lineRule="auto" w:before="200" w:after="100"/>
        <w:ind w:left="0" w:right="0" w:firstLine="0"/>
        <w:jc w:val="left"/>
      </w:pPr>
      <w:r>
        <w:rPr>
          <w:rFonts w:ascii="Times New Roman" w:hAnsi="Times New Roman" w:eastAsia="Microsoft YaHei" w:cs="Times New Roman"/>
          <w:b/>
          <w:i w:val="0"/>
          <w:color w:val="1F2937"/>
          <w:sz w:val="27"/>
        </w:rPr>
        <w:t>Claim–Evidence</w:t>
      </w:r>
    </w:p>
    <w:p>
      <w:pPr>
        <w:pStyle w:val="SDDcaption"/>
        <w:keepNext w:val="0"/>
        <w:spacing w:line="264" w:lineRule="auto" w:before="60" w:after="140"/>
        <w:ind w:left="0" w:right="0" w:firstLine="0"/>
        <w:jc w:val="center"/>
      </w:pPr>
      <w:r>
        <w:rPr>
          <w:rFonts w:ascii="Times New Roman" w:hAnsi="Times New Roman" w:eastAsia="SimSun" w:cs="Times New Roman"/>
          <w:b w:val="0"/>
          <w:i w:val="0"/>
          <w:color w:val="374151"/>
          <w:sz w:val="19"/>
        </w:rPr>
        <w:t>Claim 1</w:t>
      </w:r>
    </w:p>
    <w:tbl>
      <w:tblPr>
        <w:tblW w:type="auto" w:w="0"/>
        <w:jc w:val="center"/>
        <w:tblLayout w:type="autofit"/>
        <w:tblLook w:firstColumn="1" w:firstRow="1" w:lastColumn="0" w:lastRow="0" w:noHBand="0" w:noVBand="1" w:val="04A0"/>
      </w:tblPr>
      <w:tblGrid>
        <w:gridCol w:w="4479"/>
        <w:gridCol w:w="4479"/>
      </w:tblGrid>
      <w:tr>
        <w:trPr>
          <w:tblHeader w:val="true"/>
        </w:trPr>
        <w:tc>
          <w:tcPr>
            <w:tcW w:type="dxa" w:w="4479"/>
            <w:vAlign w:val="center"/>
            <w:tcBorders>
              <w:top w:val="single" w:sz="10" w:color="6B7280"/>
              <w:left w:val="nil"/>
              <w:bottom w:val="single" w:sz="6" w:color="6B7280"/>
              <w:right w:val="nil"/>
            </w:tcBorders>
          </w:tcPr>
          <w:p>
            <w:pPr>
              <w:keepNext/>
              <w:spacing w:line="264" w:lineRule="auto" w:before="0" w:after="0"/>
              <w:ind w:left="0" w:right="0" w:firstLine="0"/>
              <w:jc w:val="center"/>
            </w:pPr>
            <w:r/>
            <w:r>
              <w:rPr>
                <w:rFonts w:ascii="Times New Roman" w:hAnsi="Times New Roman" w:eastAsia="Microsoft YaHei" w:cs="Times New Roman"/>
                <w:b/>
                <w:i w:val="0"/>
                <w:color w:val="111827"/>
                <w:sz w:val="19"/>
              </w:rPr>
              <w:t>项目</w:t>
            </w:r>
          </w:p>
        </w:tc>
        <w:tc>
          <w:tcPr>
            <w:tcW w:type="dxa" w:w="4479"/>
            <w:vAlign w:val="center"/>
            <w:tcBorders>
              <w:top w:val="single" w:sz="10" w:color="6B7280"/>
              <w:left w:val="nil"/>
              <w:bottom w:val="single" w:sz="6" w:color="6B7280"/>
              <w:right w:val="nil"/>
            </w:tcBorders>
          </w:tcPr>
          <w:p>
            <w:pPr>
              <w:keepNext/>
              <w:spacing w:line="264" w:lineRule="auto" w:before="0" w:after="0"/>
              <w:ind w:left="0" w:right="0" w:firstLine="0"/>
              <w:jc w:val="center"/>
            </w:pPr>
            <w:r/>
            <w:r>
              <w:rPr>
                <w:rFonts w:ascii="Times New Roman" w:hAnsi="Times New Roman" w:eastAsia="Microsoft YaHei" w:cs="Times New Roman"/>
                <w:b/>
                <w:i w:val="0"/>
                <w:color w:val="111827"/>
                <w:sz w:val="19"/>
              </w:rPr>
              <w:t>内容</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Claim</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局部证据聚合在当前实验协议下改善了性能。</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支持程度</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moderate</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为什么</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存在直接对比表格。</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适用边界</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仅限论文报告的数据集与实验协议。</w:t>
            </w:r>
          </w:p>
        </w:tc>
      </w:tr>
      <w:tr>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不能进一步证明</w:t>
            </w:r>
          </w:p>
        </w:tc>
        <w:tc>
          <w:tcPr>
            <w:tcW w:type="dxa" w:w="4479"/>
            <w:vAlign w:val="center"/>
            <w:tcBorders>
              <w:top w:val="nil"/>
              <w:left w:val="nil"/>
              <w:bottom w:val="nil"/>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不能据此证明该机制在所有数据集和 backbone 上都更优。</w:t>
            </w:r>
          </w:p>
        </w:tc>
      </w:tr>
      <w:tr>
        <w:tc>
          <w:tcPr>
            <w:tcW w:type="dxa" w:w="4479"/>
            <w:vAlign w:val="center"/>
            <w:tcBorders>
              <w:top w:val="nil"/>
              <w:left w:val="nil"/>
              <w:bottom w:val="single" w:sz="10" w:color="6B7280"/>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还需要什么</w:t>
            </w:r>
          </w:p>
        </w:tc>
        <w:tc>
          <w:tcPr>
            <w:tcW w:type="dxa" w:w="4479"/>
            <w:vAlign w:val="center"/>
            <w:tcBorders>
              <w:top w:val="nil"/>
              <w:left w:val="nil"/>
              <w:bottom w:val="single" w:sz="10" w:color="6B7280"/>
              <w:right w:val="nil"/>
            </w:tcBorders>
          </w:tcPr>
          <w:p>
            <w:pPr>
              <w:keepNext w:val="0"/>
              <w:spacing w:line="276" w:lineRule="auto" w:before="0" w:after="0"/>
              <w:ind w:left="0" w:right="0" w:firstLine="0"/>
              <w:jc w:val="left"/>
            </w:pPr>
            <w:r/>
            <w:r>
              <w:rPr>
                <w:rFonts w:ascii="Times New Roman" w:hAnsi="Times New Roman" w:eastAsia="SimSun" w:cs="Times New Roman"/>
                <w:b w:val="0"/>
                <w:i w:val="0"/>
                <w:color w:val="111827"/>
                <w:sz w:val="19"/>
              </w:rPr>
              <w:t>增加跨数据集、跨 backbone 与跨域验证。</w:t>
            </w:r>
          </w:p>
        </w:tc>
      </w:tr>
    </w:tbl>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The proposed method outperforms the reported baselines under the tested setting.</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ev-002</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Experiments · Table 2</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table</w:t>
            </w:r>
          </w:p>
        </w:tc>
      </w:tr>
    </w:tbl>
    <w:p>
      <w:pPr>
        <w:spacing w:after="0"/>
      </w:pPr>
    </w:p>
    <w:tbl>
      <w:tblPr>
        <w:tblW w:type="auto" w:w="0"/>
        <w:tblLayout w:type="autofit"/>
        <w:tblLook w:firstColumn="1" w:firstRow="1" w:lastColumn="0" w:lastRow="0" w:noHBand="0" w:noVBand="1" w:val="04A0"/>
      </w:tblPr>
      <w:tblGrid>
        <w:gridCol w:w="8958"/>
      </w:tblGrid>
      <w:tr>
        <w:trPr>
          <w:cantSplit/>
        </w:trPr>
        <w:tc>
          <w:tcPr>
            <w:tcW w:type="dxa" w:w="8958"/>
            <w:shd w:fill="F5F3FF"/>
            <w:tcBorders>
              <w:top w:val="nil"/>
              <w:left w:val="single" w:sz="18" w:color="7C3AED"/>
              <w:bottom w:val="nil"/>
              <w:right w:val="nil"/>
            </w:tcBorders>
          </w:tcPr>
          <w:p>
            <w:pPr>
              <w:keepNext w:val="0"/>
              <w:spacing w:line="336" w:lineRule="auto" w:before="0" w:after="0"/>
              <w:ind w:left="0" w:right="0" w:firstLine="0"/>
              <w:jc w:val="left"/>
            </w:pPr>
            <w:r/>
            <w:r>
              <w:rPr>
                <w:rFonts w:ascii="Times New Roman" w:hAnsi="Times New Roman" w:eastAsia="SimSun" w:cs="Times New Roman"/>
                <w:b/>
                <w:i w:val="0"/>
                <w:color w:val="1F2937"/>
                <w:sz w:val="21"/>
              </w:rPr>
              <w:t>整体证据支持</w:t>
              <w:br/>
            </w:r>
            <w:r>
              <w:rPr>
                <w:rFonts w:ascii="Times New Roman" w:hAnsi="Times New Roman" w:eastAsia="SimSun" w:cs="Times New Roman"/>
                <w:b w:val="0"/>
                <w:i w:val="0"/>
                <w:color w:val="1F2937"/>
                <w:sz w:val="21"/>
              </w:rPr>
              <w:t>moderate</w:t>
            </w:r>
          </w:p>
        </w:tc>
      </w:tr>
    </w:tbl>
    <w:p>
      <w:pPr>
        <w:spacing w:after="0"/>
      </w:pPr>
    </w:p>
    <w:p>
      <w:pPr>
        <w:pStyle w:val="ListBullet"/>
        <w:keepNext w:val="0"/>
        <w:spacing w:line="336" w:lineRule="auto" w:before="0" w:after="0"/>
        <w:ind w:left="0" w:right="0" w:firstLine="0"/>
        <w:jc w:val="left"/>
      </w:pPr>
      <w:r>
        <w:rPr>
          <w:rFonts w:ascii="Times New Roman" w:hAnsi="Times New Roman" w:eastAsia="SimSun" w:cs="Times New Roman"/>
          <w:b w:val="0"/>
          <w:i w:val="0"/>
          <w:color w:val="78350F"/>
          <w:sz w:val="21"/>
        </w:rPr>
        <w:t>缺少独立外部复现。</w:t>
      </w:r>
    </w:p>
    <w:p>
      <w:pPr>
        <w:pStyle w:val="Heading1"/>
        <w:keepNext/>
        <w:spacing w:line="276" w:lineRule="auto" w:before="280" w:after="140"/>
        <w:ind w:left="0" w:right="0" w:firstLine="0"/>
        <w:jc w:val="left"/>
      </w:pPr>
      <w:r>
        <w:rPr>
          <w:rFonts w:ascii="Times New Roman" w:hAnsi="Times New Roman" w:eastAsia="Microsoft YaHei" w:cs="Times New Roman"/>
          <w:b/>
          <w:i w:val="0"/>
          <w:color w:val="111827"/>
          <w:sz w:val="32"/>
        </w:rPr>
        <w:t>05 批判性评价</w:t>
      </w:r>
    </w:p>
    <w:p>
      <w:pPr>
        <w:pStyle w:val="Heading2"/>
        <w:keepNext/>
        <w:spacing w:line="276" w:lineRule="auto" w:before="200" w:after="100"/>
        <w:ind w:left="0" w:right="0" w:firstLine="0"/>
        <w:jc w:val="left"/>
      </w:pPr>
      <w:r>
        <w:rPr>
          <w:rFonts w:ascii="Times New Roman" w:hAnsi="Times New Roman" w:eastAsia="Microsoft YaHei" w:cs="Times New Roman"/>
          <w:b/>
          <w:i w:val="0"/>
          <w:color w:val="1F2937"/>
          <w:sz w:val="27"/>
        </w:rPr>
        <w:t>PaperScope 分析出的局限</w:t>
      </w:r>
    </w:p>
    <w:p>
      <w:pPr>
        <w:pStyle w:val="SDDlimitation"/>
        <w:keepNext w:val="0"/>
        <w:spacing w:line="336" w:lineRule="auto" w:before="0" w:after="0"/>
        <w:ind w:left="0" w:right="0" w:firstLine="0"/>
        <w:jc w:val="left"/>
      </w:pPr>
      <w:r>
        <w:rPr>
          <w:rFonts w:ascii="Times New Roman" w:hAnsi="Times New Roman" w:eastAsia="SimSun" w:cs="Times New Roman"/>
          <w:b w:val="0"/>
          <w:i w:val="0"/>
          <w:color w:val="7F1D1D"/>
          <w:sz w:val="21"/>
        </w:rPr>
        <w:t>[inferred] 当前实验仍不足以说明跨域泛化能力。</w:t>
      </w: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The proposed method outperforms the reported baselines under the tested setting.</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ev-002</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Experiments · Table 2</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table</w:t>
            </w:r>
          </w:p>
        </w:tc>
      </w:tr>
    </w:tbl>
    <w:p>
      <w:pPr>
        <w:spacing w:after="0"/>
      </w:pPr>
    </w:p>
    <w:p>
      <w:pPr>
        <w:pStyle w:val="Heading2"/>
        <w:keepNext/>
        <w:spacing w:line="276" w:lineRule="auto" w:before="200" w:after="100"/>
        <w:ind w:left="0" w:right="0" w:firstLine="0"/>
        <w:jc w:val="left"/>
      </w:pPr>
      <w:r>
        <w:rPr>
          <w:rFonts w:ascii="Times New Roman" w:hAnsi="Times New Roman" w:eastAsia="Microsoft YaHei" w:cs="Times New Roman"/>
          <w:b/>
          <w:i w:val="0"/>
          <w:color w:val="1F2937"/>
          <w:sz w:val="27"/>
        </w:rPr>
        <w:t>脆弱假设</w:t>
      </w:r>
    </w:p>
    <w:tbl>
      <w:tblPr>
        <w:tblW w:type="auto" w:w="0"/>
        <w:tblLayout w:type="autofit"/>
        <w:tblLook w:firstColumn="1" w:firstRow="1" w:lastColumn="0" w:lastRow="0" w:noHBand="0" w:noVBand="1" w:val="04A0"/>
      </w:tblPr>
      <w:tblGrid>
        <w:gridCol w:w="8958"/>
      </w:tblGrid>
      <w:tr>
        <w:trPr>
          <w:cantSplit/>
        </w:trPr>
        <w:tc>
          <w:tcPr>
            <w:tcW w:type="dxa" w:w="8958"/>
            <w:shd w:fill="FFF7ED"/>
            <w:tcBorders>
              <w:top w:val="nil"/>
              <w:left w:val="single" w:sz="18" w:color="EA580C"/>
              <w:bottom w:val="nil"/>
              <w:right w:val="nil"/>
            </w:tcBorders>
          </w:tcPr>
          <w:p>
            <w:pPr>
              <w:keepNext w:val="0"/>
              <w:spacing w:line="336" w:lineRule="auto" w:before="0" w:after="0"/>
              <w:ind w:left="0" w:right="0" w:firstLine="0"/>
              <w:jc w:val="left"/>
            </w:pPr>
            <w:r/>
            <w:r>
              <w:rPr>
                <w:rFonts w:ascii="Times New Roman" w:hAnsi="Times New Roman" w:eastAsia="SimSun" w:cs="Times New Roman"/>
                <w:b/>
                <w:i w:val="0"/>
                <w:color w:val="78350F"/>
                <w:sz w:val="21"/>
              </w:rPr>
              <w:t>脆弱假设 A1</w:t>
              <w:br/>
            </w:r>
            <w:r>
              <w:rPr>
                <w:rFonts w:ascii="Times New Roman" w:hAnsi="Times New Roman" w:eastAsia="SimSun" w:cs="Times New Roman"/>
                <w:b w:val="0"/>
                <w:i w:val="0"/>
                <w:color w:val="78350F"/>
                <w:sz w:val="21"/>
              </w:rPr>
              <w:t>局部相似度可反映类别信息</w:t>
              <w:br/>
              <w:t>Failure mode：背景伪相似可能累积并干扰分类。</w:t>
            </w:r>
          </w:p>
        </w:tc>
      </w:tr>
    </w:tbl>
    <w:p>
      <w:pPr>
        <w:spacing w:after="0"/>
      </w:pP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p>
      <w:pPr>
        <w:pStyle w:val="Heading2"/>
        <w:keepNext/>
        <w:spacing w:line="276" w:lineRule="auto" w:before="200" w:after="100"/>
        <w:ind w:left="0" w:right="0" w:firstLine="0"/>
        <w:jc w:val="left"/>
      </w:pPr>
      <w:r>
        <w:rPr>
          <w:rFonts w:ascii="Times New Roman" w:hAnsi="Times New Roman" w:eastAsia="Microsoft YaHei" w:cs="Times New Roman"/>
          <w:b/>
          <w:i w:val="0"/>
          <w:color w:val="1F2937"/>
          <w:sz w:val="27"/>
        </w:rPr>
        <w:t>Reviewer Questions</w:t>
      </w:r>
    </w:p>
    <w:p>
      <w:pPr>
        <w:pStyle w:val="ListNumber"/>
        <w:keepNext w:val="0"/>
        <w:spacing w:line="336" w:lineRule="auto" w:before="0" w:after="0"/>
        <w:ind w:left="0" w:right="0" w:firstLine="0"/>
        <w:jc w:val="left"/>
      </w:pPr>
      <w:r>
        <w:rPr>
          <w:rFonts w:ascii="Times New Roman" w:hAnsi="Times New Roman" w:eastAsia="SimSun" w:cs="Times New Roman"/>
          <w:b w:val="0"/>
          <w:i w:val="0"/>
          <w:color w:val="78350F"/>
          <w:sz w:val="21"/>
        </w:rPr>
        <w:t>不同 backbone 下是否保持同样优势？</w:t>
      </w:r>
    </w:p>
    <w:p>
      <w:pPr>
        <w:pStyle w:val="ListNumber"/>
        <w:keepNext w:val="0"/>
        <w:spacing w:line="336" w:lineRule="auto" w:before="0" w:after="0"/>
        <w:ind w:left="0" w:right="0" w:firstLine="0"/>
        <w:jc w:val="left"/>
      </w:pPr>
      <w:r>
        <w:rPr>
          <w:rFonts w:ascii="Times New Roman" w:hAnsi="Times New Roman" w:eastAsia="SimSun" w:cs="Times New Roman"/>
          <w:b w:val="0"/>
          <w:i w:val="0"/>
          <w:color w:val="78350F"/>
          <w:sz w:val="21"/>
        </w:rPr>
        <w:t>背景局部区域是否会造成伪匹配？</w:t>
      </w:r>
    </w:p>
    <w:p>
      <w:pPr>
        <w:pStyle w:val="Heading1"/>
        <w:keepNext/>
        <w:spacing w:line="276" w:lineRule="auto" w:before="280" w:after="140"/>
        <w:ind w:left="0" w:right="0" w:firstLine="0"/>
        <w:jc w:val="left"/>
      </w:pPr>
      <w:r>
        <w:rPr>
          <w:rFonts w:ascii="Times New Roman" w:hAnsi="Times New Roman" w:eastAsia="Microsoft YaHei" w:cs="Times New Roman"/>
          <w:b/>
          <w:i w:val="0"/>
          <w:color w:val="111827"/>
          <w:sz w:val="32"/>
        </w:rPr>
        <w:t>06 开放问题与精读建议</w:t>
      </w:r>
    </w:p>
    <w:tbl>
      <w:tblPr>
        <w:tblW w:type="auto" w:w="0"/>
        <w:tblLayout w:type="autofit"/>
        <w:tblLook w:firstColumn="1" w:firstRow="1" w:lastColumn="0" w:lastRow="0" w:noHBand="0" w:noVBand="1" w:val="04A0"/>
      </w:tblPr>
      <w:tblGrid>
        <w:gridCol w:w="8958"/>
      </w:tblGrid>
      <w:tr>
        <w:trPr>
          <w:cantSplit/>
        </w:trPr>
        <w:tc>
          <w:tcPr>
            <w:tcW w:type="dxa" w:w="8958"/>
            <w:shd w:fill="F5F3FF"/>
            <w:tcBorders>
              <w:top w:val="nil"/>
              <w:left w:val="single" w:sz="18" w:color="7C3AED"/>
              <w:bottom w:val="nil"/>
              <w:right w:val="nil"/>
            </w:tcBorders>
          </w:tcPr>
          <w:p>
            <w:pPr>
              <w:keepNext w:val="0"/>
              <w:spacing w:line="336" w:lineRule="auto" w:before="0" w:after="0"/>
              <w:ind w:left="0" w:right="0" w:firstLine="0"/>
              <w:jc w:val="left"/>
            </w:pPr>
            <w:r/>
            <w:r>
              <w:rPr>
                <w:rFonts w:ascii="Times New Roman" w:hAnsi="Times New Roman" w:eastAsia="SimSun" w:cs="Times New Roman"/>
                <w:b/>
                <w:i w:val="0"/>
                <w:color w:val="1F2937"/>
                <w:sz w:val="21"/>
              </w:rPr>
              <w:t>Open Question 1</w:t>
              <w:br/>
            </w:r>
            <w:r>
              <w:rPr>
                <w:rFonts w:ascii="Times New Roman" w:hAnsi="Times New Roman" w:eastAsia="SimSun" w:cs="Times New Roman"/>
                <w:b w:val="0"/>
                <w:i w:val="0"/>
                <w:color w:val="1F2937"/>
                <w:sz w:val="21"/>
              </w:rPr>
              <w:t>问题：能否显式估计不同局部证据的可靠性？</w:t>
              <w:br/>
              <w:t>来源：analysis_derived</w:t>
              <w:br/>
              <w:t>为什么重要：这直接关系到背景伪相似是否会被过度累积。</w:t>
              <w:br/>
              <w:t>建议如何验证：比较固定权重与可靠性加权策略，并分析错误类别得分分布。</w:t>
            </w:r>
          </w:p>
        </w:tc>
      </w:tr>
    </w:tbl>
    <w:p>
      <w:pPr>
        <w:spacing w:after="0"/>
      </w:pP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Existing approaches compress local evidence into a single global representation.</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ev-001</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Introduction</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body_text</w:t>
            </w:r>
          </w:p>
        </w:tc>
      </w:tr>
    </w:tbl>
    <w:p>
      <w:pPr>
        <w:spacing w:after="0"/>
      </w:pPr>
    </w:p>
    <w:tbl>
      <w:tblPr>
        <w:tblW w:type="auto" w:w="0"/>
        <w:tblLayout w:type="autofit"/>
        <w:tblLook w:firstColumn="1" w:firstRow="1" w:lastColumn="0" w:lastRow="0" w:noHBand="0" w:noVBand="1" w:val="04A0"/>
      </w:tblPr>
      <w:tblGrid>
        <w:gridCol w:w="8958"/>
      </w:tblGrid>
      <w:tr>
        <w:trPr>
          <w:cantSplit/>
        </w:trPr>
        <w:tc>
          <w:tcPr>
            <w:tcW w:type="dxa" w:w="8958"/>
            <w:shd w:fill="F0F9FF"/>
            <w:tcBorders>
              <w:top w:val="nil"/>
              <w:left w:val="single" w:sz="18" w:color="0284C7"/>
              <w:bottom w:val="nil"/>
              <w:right w:val="nil"/>
            </w:tcBorders>
          </w:tcPr>
          <w:p>
            <w:pPr>
              <w:keepNext w:val="0"/>
              <w:spacing w:line="324" w:lineRule="auto" w:before="0" w:after="0"/>
              <w:ind w:left="0" w:right="0" w:firstLine="0"/>
              <w:jc w:val="left"/>
            </w:pPr>
            <w:r/>
            <w:r>
              <w:rPr>
                <w:rFonts w:ascii="Times New Roman" w:hAnsi="Times New Roman" w:eastAsia="SimSun" w:cs="Times New Roman"/>
                <w:b/>
                <w:i w:val="0"/>
                <w:color w:val="1F2937"/>
                <w:sz w:val="20"/>
              </w:rPr>
              <w:t>原文依据</w:t>
              <w:br/>
            </w:r>
            <w:r>
              <w:rPr>
                <w:rFonts w:ascii="Times New Roman" w:hAnsi="Times New Roman" w:eastAsia="SimSun" w:cs="Times New Roman"/>
                <w:b w:val="0"/>
                <w:i w:val="0"/>
                <w:color w:val="1F2937"/>
                <w:sz w:val="20"/>
              </w:rPr>
              <w:t>The proposed method outperforms the reported baselines under the tested setting.</w:t>
            </w:r>
            <w:r>
              <w:rPr>
                <w:rFonts w:ascii="Times New Roman" w:hAnsi="Times New Roman" w:eastAsia="SimSun" w:cs="Times New Roman"/>
                <w:b w:val="0"/>
                <w:i w:val="0"/>
                <w:color w:val="1F2937"/>
                <w:sz w:val="20"/>
              </w:rPr>
              <w:br/>
            </w:r>
            <w:r>
              <w:rPr>
                <w:rFonts w:ascii="Times New Roman" w:hAnsi="Times New Roman" w:eastAsia="SimSun" w:cs="Times New Roman"/>
                <w:b w:val="0"/>
                <w:i/>
                <w:color w:val="1F2937"/>
                <w:sz w:val="20"/>
              </w:rPr>
              <w:t>证据ID: ev-002</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位置: Section Experiments · Table 2</w:t>
            </w:r>
            <w:r>
              <w:rPr>
                <w:rFonts w:ascii="Times New Roman" w:hAnsi="Times New Roman" w:eastAsia="SimSun" w:cs="Times New Roman"/>
                <w:b w:val="0"/>
                <w:i w:val="0"/>
                <w:color w:val="1F2937"/>
                <w:sz w:val="20"/>
              </w:rPr>
              <w:t xml:space="preserve"> · </w:t>
            </w:r>
            <w:r>
              <w:rPr>
                <w:rFonts w:ascii="Times New Roman" w:hAnsi="Times New Roman" w:eastAsia="SimSun" w:cs="Times New Roman"/>
                <w:b w:val="0"/>
                <w:i/>
                <w:color w:val="1F2937"/>
                <w:sz w:val="20"/>
              </w:rPr>
              <w:t>类型: table</w:t>
            </w:r>
          </w:p>
        </w:tc>
      </w:tr>
    </w:tbl>
    <w:p>
      <w:pPr>
        <w:spacing w:after="0"/>
      </w:pPr>
    </w:p>
    <w:p>
      <w:pPr>
        <w:pStyle w:val="Heading1"/>
        <w:keepNext/>
        <w:spacing w:line="276" w:lineRule="auto" w:before="280" w:after="140"/>
        <w:ind w:left="0" w:right="0" w:firstLine="0"/>
        <w:jc w:val="left"/>
      </w:pPr>
      <w:r>
        <w:rPr>
          <w:rFonts w:ascii="Times New Roman" w:hAnsi="Times New Roman" w:eastAsia="Microsoft YaHei" w:cs="Times New Roman"/>
          <w:b/>
          <w:i w:val="0"/>
          <w:color w:val="111827"/>
          <w:sz w:val="32"/>
        </w:rPr>
        <w:t>全局材料限制</w:t>
      </w:r>
    </w:p>
    <w:p>
      <w:pPr>
        <w:pStyle w:val="ListBullet"/>
        <w:keepNext w:val="0"/>
        <w:spacing w:line="336" w:lineRule="auto" w:before="0" w:after="0"/>
        <w:ind w:left="0" w:right="0" w:firstLine="0"/>
        <w:jc w:val="left"/>
      </w:pPr>
      <w:r>
        <w:rPr>
          <w:rFonts w:ascii="Times New Roman" w:hAnsi="Times New Roman" w:eastAsia="SimSun" w:cs="Times New Roman"/>
          <w:b w:val="0"/>
          <w:i w:val="0"/>
          <w:color w:val="78350F"/>
          <w:sz w:val="21"/>
        </w:rPr>
        <w:t>该示例为结构与排版测试，不代表对真实论文的完整学术判断。</w:t>
      </w:r>
    </w:p>
    <w:sectPr w:rsidR="00FC693F" w:rsidRPr="0006063C" w:rsidSect="00034616">
      <w:headerReference w:type="default" r:id="rId9"/>
      <w:footerReference w:type="default" r:id="rId10"/>
      <w:pgSz w:w="11906" w:h="16838"/>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line="312" w:lineRule="auto" w:before="0" w:after="0"/>
      <w:ind w:left="0" w:right="0" w:firstLine="0"/>
      <w:jc w:val="left"/>
    </w:pPr>
    <w:r>
      <w:rPr>
        <w:rFonts w:ascii="Times New Roman" w:hAnsi="Times New Roman" w:eastAsia="SimSun" w:cs="Times New Roman"/>
        <w:b w:val="0"/>
        <w:i w:val="0"/>
        <w:color w:val="4B5563"/>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line="312" w:lineRule="auto" w:before="0" w:after="0"/>
      <w:ind w:left="0" w:right="0" w:firstLine="0"/>
      <w:jc w:val="left"/>
    </w:pPr>
    <w:r>
      <w:rPr>
        <w:rFonts w:ascii="Times New Roman" w:hAnsi="Times New Roman" w:eastAsia="SimSun" w:cs="Times New Roman"/>
        <w:b w:val="0"/>
        <w:i w:val="0"/>
        <w:color w:val="4B5563"/>
        <w:sz w:val="20"/>
      </w:rPr>
      <w:t>AI论文精读报告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360" w:lineRule="auto" w:before="0" w:after="120"/>
      <w:ind w:left="0" w:right="0" w:firstLine="440"/>
      <w:jc w:val="left"/>
    </w:pPr>
    <w:rPr>
      <w:rFonts w:ascii="Times New Roman" w:hAnsi="Times New Roman" w:eastAsia="SimSun"/>
      <w:b w:val="0"/>
      <w:i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76" w:lineRule="auto"/>
      <w:ind w:left="0" w:right="0" w:firstLine="0"/>
      <w:jc w:val="left"/>
      <w:outlineLvl w:val="0"/>
    </w:pPr>
    <w:rPr>
      <w:rFonts w:asciiTheme="majorHAnsi" w:eastAsiaTheme="majorEastAsia" w:hAnsiTheme="majorHAnsi" w:cstheme="majorBidi" w:ascii="Times New Roman" w:hAnsi="Times New Roman" w:eastAsia="Microsoft YaHei"/>
      <w:b/>
      <w:bCs/>
      <w:i w:val="0"/>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left="0" w:right="0" w:firstLine="0"/>
      <w:jc w:val="left"/>
      <w:outlineLvl w:val="1"/>
    </w:pPr>
    <w:rPr>
      <w:rFonts w:asciiTheme="majorHAnsi" w:eastAsiaTheme="majorEastAsia" w:hAnsiTheme="majorHAnsi" w:cstheme="majorBidi" w:ascii="Times New Roman" w:hAnsi="Times New Roman" w:eastAsia="Microsoft YaHei"/>
      <w:b/>
      <w:bCs/>
      <w:i w:val="0"/>
      <w:color w:val="1F2937"/>
      <w:sz w:val="27"/>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left="0" w:right="0" w:firstLine="0"/>
      <w:jc w:val="left"/>
      <w:outlineLvl w:val="2"/>
    </w:pPr>
    <w:rPr>
      <w:rFonts w:asciiTheme="majorHAnsi" w:eastAsiaTheme="majorEastAsia" w:hAnsiTheme="majorHAnsi" w:cstheme="majorBidi" w:ascii="Times New Roman" w:hAnsi="Times New Roman" w:eastAsia="Microsoft YaHei"/>
      <w:b/>
      <w:bCs/>
      <w:i w:val="0"/>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76" w:lineRule="auto" w:before="0"/>
      <w:ind w:left="0" w:right="0" w:firstLine="0"/>
      <w:contextualSpacing/>
      <w:jc w:val="center"/>
    </w:pPr>
    <w:rPr>
      <w:rFonts w:asciiTheme="majorHAnsi" w:eastAsiaTheme="majorEastAsia" w:hAnsiTheme="majorHAnsi" w:cstheme="majorBidi" w:ascii="Times New Roman" w:hAnsi="Times New Roman" w:eastAsia="Microsoft YaHei"/>
      <w:b/>
      <w:i w:val="0"/>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DDsubtitle">
    <w:name w:val="SDD subtitle"/>
    <w:pPr>
      <w:keepNext/>
      <w:spacing w:line="264" w:lineRule="auto" w:before="0" w:after="240"/>
      <w:ind w:left="0" w:right="0" w:firstLine="0"/>
      <w:jc w:val="center"/>
    </w:pPr>
    <w:rPr>
      <w:rFonts w:ascii="Times New Roman" w:hAnsi="Times New Roman" w:eastAsia="Microsoft YaHei"/>
      <w:b w:val="0"/>
      <w:i w:val="0"/>
      <w:color w:val="4B5563"/>
      <w:sz w:val="22"/>
    </w:rPr>
  </w:style>
  <w:style w:type="paragraph" w:customStyle="1" w:styleId="SDDlead">
    <w:name w:val="SDD lead"/>
    <w:pPr>
      <w:keepNext w:val="0"/>
      <w:spacing w:line="348" w:lineRule="auto" w:before="0" w:after="160"/>
      <w:ind w:left="0" w:right="0" w:firstLine="0"/>
      <w:jc w:val="left"/>
    </w:pPr>
    <w:rPr>
      <w:rFonts w:ascii="Times New Roman" w:hAnsi="Times New Roman" w:eastAsia="SimSun"/>
      <w:b w:val="0"/>
      <w:i w:val="0"/>
      <w:color w:val="111827"/>
      <w:sz w:val="23"/>
    </w:rPr>
  </w:style>
  <w:style w:type="paragraph" w:customStyle="1" w:styleId="SDDquote">
    <w:name w:val="SDD quote"/>
    <w:pPr>
      <w:keepNext w:val="0"/>
      <w:spacing w:line="324" w:lineRule="auto" w:before="80" w:after="120"/>
      <w:ind w:left="454" w:right="283" w:firstLine="0"/>
      <w:jc w:val="left"/>
    </w:pPr>
    <w:rPr>
      <w:rFonts w:ascii="Times New Roman" w:hAnsi="Times New Roman" w:eastAsia="SimSun"/>
      <w:b w:val="0"/>
      <w:i w:val="0"/>
      <w:color w:val="374151"/>
      <w:sz w:val="20"/>
    </w:rPr>
  </w:style>
  <w:style w:type="paragraph" w:customStyle="1" w:styleId="SDDevidence">
    <w:name w:val="SDD evidence"/>
    <w:pPr>
      <w:keepNext w:val="0"/>
      <w:spacing w:line="324" w:lineRule="auto" w:before="0" w:after="0"/>
      <w:ind w:left="0" w:right="0" w:firstLine="0"/>
      <w:jc w:val="left"/>
    </w:pPr>
    <w:rPr>
      <w:rFonts w:ascii="Times New Roman" w:hAnsi="Times New Roman" w:eastAsia="SimSun"/>
      <w:b w:val="0"/>
      <w:i w:val="0"/>
      <w:color w:val="1F2937"/>
      <w:sz w:val="20"/>
    </w:rPr>
  </w:style>
  <w:style w:type="paragraph" w:customStyle="1" w:styleId="SDDanalysis">
    <w:name w:val="SDD analysis"/>
    <w:pPr>
      <w:keepNext w:val="0"/>
      <w:spacing w:line="336" w:lineRule="auto" w:before="0" w:after="0"/>
      <w:ind w:left="0" w:right="0" w:firstLine="0"/>
      <w:jc w:val="left"/>
    </w:pPr>
    <w:rPr>
      <w:rFonts w:ascii="Times New Roman" w:hAnsi="Times New Roman" w:eastAsia="SimSun"/>
      <w:b w:val="0"/>
      <w:i w:val="0"/>
      <w:color w:val="1F2937"/>
      <w:sz w:val="21"/>
    </w:rPr>
  </w:style>
  <w:style w:type="paragraph" w:customStyle="1" w:styleId="SDDwarning">
    <w:name w:val="SDD warning"/>
    <w:pPr>
      <w:keepNext w:val="0"/>
      <w:spacing w:line="336" w:lineRule="auto" w:before="0" w:after="0"/>
      <w:ind w:left="0" w:right="0" w:firstLine="0"/>
      <w:jc w:val="left"/>
    </w:pPr>
    <w:rPr>
      <w:rFonts w:ascii="Times New Roman" w:hAnsi="Times New Roman" w:eastAsia="SimSun"/>
      <w:b w:val="0"/>
      <w:i w:val="0"/>
      <w:color w:val="78350F"/>
      <w:sz w:val="21"/>
    </w:rPr>
  </w:style>
  <w:style w:type="paragraph" w:customStyle="1" w:styleId="SDDlimitation">
    <w:name w:val="SDD limitation"/>
    <w:pPr>
      <w:keepNext w:val="0"/>
      <w:spacing w:line="336" w:lineRule="auto" w:before="0" w:after="0"/>
      <w:ind w:left="0" w:right="0" w:firstLine="0"/>
      <w:jc w:val="left"/>
    </w:pPr>
    <w:rPr>
      <w:rFonts w:ascii="Times New Roman" w:hAnsi="Times New Roman" w:eastAsia="SimSun"/>
      <w:b w:val="0"/>
      <w:i w:val="0"/>
      <w:color w:val="7F1D1D"/>
      <w:sz w:val="21"/>
    </w:rPr>
  </w:style>
  <w:style w:type="paragraph" w:customStyle="1" w:styleId="SDDnote">
    <w:name w:val="SDD note"/>
    <w:pPr>
      <w:keepNext w:val="0"/>
      <w:spacing w:line="312" w:lineRule="auto" w:before="0" w:after="0"/>
      <w:ind w:left="0" w:right="0" w:firstLine="0"/>
      <w:jc w:val="left"/>
    </w:pPr>
    <w:rPr>
      <w:rFonts w:ascii="Times New Roman" w:hAnsi="Times New Roman" w:eastAsia="SimSun"/>
      <w:b w:val="0"/>
      <w:i w:val="0"/>
      <w:color w:val="4B5563"/>
      <w:sz w:val="20"/>
    </w:rPr>
  </w:style>
  <w:style w:type="paragraph" w:customStyle="1" w:styleId="SDDreviewer_comment">
    <w:name w:val="SDD reviewer_comment"/>
    <w:pPr>
      <w:keepNext w:val="0"/>
      <w:spacing w:line="336" w:lineRule="auto" w:before="0" w:after="0"/>
      <w:ind w:left="0" w:right="0" w:firstLine="0"/>
      <w:jc w:val="left"/>
    </w:pPr>
    <w:rPr>
      <w:rFonts w:ascii="Times New Roman" w:hAnsi="Times New Roman" w:eastAsia="SimSun"/>
      <w:b w:val="0"/>
      <w:i w:val="0"/>
      <w:color w:val="7C2D12"/>
      <w:sz w:val="21"/>
    </w:rPr>
  </w:style>
  <w:style w:type="paragraph" w:customStyle="1" w:styleId="SDDauthor_response">
    <w:name w:val="SDD author_response"/>
    <w:pPr>
      <w:keepNext w:val="0"/>
      <w:spacing w:line="336" w:lineRule="auto" w:before="0" w:after="0"/>
      <w:ind w:left="0" w:right="0" w:firstLine="0"/>
      <w:jc w:val="left"/>
    </w:pPr>
    <w:rPr>
      <w:rFonts w:ascii="Times New Roman" w:hAnsi="Times New Roman" w:eastAsia="SimSun"/>
      <w:b w:val="0"/>
      <w:i w:val="0"/>
      <w:color w:val="14532D"/>
      <w:sz w:val="21"/>
    </w:rPr>
  </w:style>
  <w:style w:type="paragraph" w:customStyle="1" w:styleId="SDDcaption">
    <w:name w:val="SDD caption"/>
    <w:pPr>
      <w:keepNext w:val="0"/>
      <w:spacing w:line="264" w:lineRule="auto" w:before="60" w:after="140"/>
      <w:ind w:left="0" w:right="0" w:firstLine="0"/>
      <w:jc w:val="center"/>
    </w:pPr>
    <w:rPr>
      <w:rFonts w:ascii="Times New Roman" w:hAnsi="Times New Roman" w:eastAsia="SimSun"/>
      <w:b w:val="0"/>
      <w:i w:val="0"/>
      <w:color w:val="374151"/>
      <w:sz w:val="19"/>
    </w:rPr>
  </w:style>
  <w:style w:type="paragraph" w:customStyle="1" w:styleId="SDDtable">
    <w:name w:val="SDD table"/>
    <w:pPr>
      <w:keepNext w:val="0"/>
      <w:spacing w:line="276" w:lineRule="auto" w:before="0" w:after="0"/>
      <w:ind w:left="0" w:right="0" w:firstLine="0"/>
      <w:jc w:val="left"/>
    </w:pPr>
    <w:rPr>
      <w:rFonts w:ascii="Times New Roman" w:hAnsi="Times New Roman" w:eastAsia="SimSun"/>
      <w:b w:val="0"/>
      <w:i w:val="0"/>
      <w:color w:val="111827"/>
      <w:sz w:val="19"/>
    </w:rPr>
  </w:style>
  <w:style w:type="paragraph" w:customStyle="1" w:styleId="SDDtable_header">
    <w:name w:val="SDD table_header"/>
    <w:pPr>
      <w:keepNext/>
      <w:spacing w:line="264" w:lineRule="auto" w:before="0" w:after="0"/>
      <w:ind w:left="0" w:right="0" w:firstLine="0"/>
      <w:jc w:val="center"/>
    </w:pPr>
    <w:rPr>
      <w:rFonts w:ascii="Times New Roman" w:hAnsi="Times New Roman" w:eastAsia="Microsoft YaHei"/>
      <w:b/>
      <w:i w:val="0"/>
      <w:color w:val="111827"/>
      <w:sz w:val="19"/>
    </w:rPr>
  </w:style>
  <w:style w:type="paragraph" w:customStyle="1" w:styleId="SDDcode">
    <w:name w:val="SDD code"/>
    <w:pPr>
      <w:keepNext w:val="0"/>
      <w:spacing w:line="276" w:lineRule="auto" w:before="60" w:after="100"/>
      <w:ind w:left="340" w:right="340" w:firstLine="0"/>
      <w:jc w:val="left"/>
    </w:pPr>
    <w:rPr>
      <w:rFonts w:ascii="Consolas" w:hAnsi="Consolas" w:eastAsia="Microsoft YaHei"/>
      <w:b w:val="0"/>
      <w:i w:val="0"/>
      <w:color w:val="111827"/>
      <w:sz w:val="19"/>
    </w:rPr>
  </w:style>
  <w:style w:type="paragraph" w:customStyle="1" w:styleId="SDDequation">
    <w:name w:val="SDD equation"/>
    <w:pPr>
      <w:keepNext w:val="0"/>
      <w:spacing w:line="288" w:lineRule="auto" w:before="100" w:after="100"/>
      <w:ind w:left="0" w:right="0" w:firstLine="0"/>
      <w:jc w:val="center"/>
    </w:pPr>
    <w:rPr>
      <w:rFonts w:ascii="Cambria Math" w:hAnsi="Cambria Math" w:eastAsia="Cambria Math"/>
      <w:b w:val="0"/>
      <w:i/>
      <w:color w:val="11182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