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spacing w:line="264" w:lineRule="auto" w:before="0" w:after="140"/>
        <w:ind w:left="0" w:right="0" w:firstLine="0"/>
        <w:jc w:val="center"/>
        <w:widowControl/>
      </w:pPr>
      <w:r>
        <w:rPr>
          <w:rFonts w:ascii="Arial" w:hAnsi="Arial" w:eastAsia="Microsoft YaHei" w:cs="Arial"/>
          <w:b/>
          <w:i w:val="0"/>
          <w:color w:val="0F172A"/>
          <w:sz w:val="38"/>
        </w:rPr>
        <w:t>AI 论文精读报告</w:t>
      </w:r>
    </w:p>
    <w:p>
      <w:pPr>
        <w:pStyle w:val="SFEsubtitle"/>
        <w:keepNext/>
        <w:pageBreakBefore w:val="0"/>
        <w:spacing w:line="276" w:lineRule="auto" w:before="0" w:after="200"/>
        <w:ind w:left="0" w:right="0" w:firstLine="0"/>
        <w:jc w:val="center"/>
        <w:widowControl/>
      </w:pPr>
      <w:r>
        <w:rPr>
          <w:rFonts w:ascii="Times New Roman" w:hAnsi="Times New Roman" w:eastAsia="Microsoft YaHei" w:cs="Times New Roman"/>
          <w:b w:val="0"/>
          <w:i w:val="0"/>
          <w:color w:val="334155"/>
          <w:sz w:val="25"/>
        </w:rPr>
        <w:t>Example Method Paper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作者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A. Author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年份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2026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分析版本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Uploaded PDF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材料覆盖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充分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证据定位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可定位至章节/图表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外部核验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仅基于本文</w:t>
            </w:r>
          </w:p>
        </w:tc>
      </w:tr>
    </w:tbl>
    <w:p>
      <w:pPr>
        <w:spacing w:after="0"/>
      </w:pPr>
    </w:p>
    <w:p>
      <w:pPr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目录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01 论文速览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02 研究问题与 Gap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03 核心方法与真实创新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04 实验与证据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05 批判性评价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06 开放问题与精读建议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材料边界与说明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附录：证据索引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01 论文速览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一句话看懂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The paper replaces global matching with descriptor-level matching, with bounded evidence for the tested setup.</w:t>
            </w:r>
          </w:p>
        </w:tc>
      </w:tr>
    </w:tbl>
    <w:p>
      <w:pPr>
        <w:spacing w:after="0"/>
      </w:pPr>
    </w:p>
    <w:p>
      <w:pPr>
        <w:pStyle w:val="SFEcaption"/>
        <w:keepNext w:val="0"/>
        <w:pageBreakBefore w:val="0"/>
        <w:spacing w:line="264" w:lineRule="auto" w:before="60" w:after="140"/>
        <w:ind w:left="0" w:right="0" w:firstLine="0"/>
        <w:jc w:val="center"/>
        <w:widowControl/>
      </w:pPr>
      <w:r>
        <w:rPr>
          <w:rFonts w:ascii="Times New Roman" w:hAnsi="Times New Roman" w:eastAsia="SimSun" w:cs="Times New Roman"/>
          <w:b w:val="0"/>
          <w:i w:val="0"/>
          <w:color w:val="374151"/>
          <w:sz w:val="19"/>
        </w:rPr>
        <w:t>科研判断卡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1"/>
        <w:gridCol w:w="6987"/>
      </w:tblGrid>
      <w:tr>
        <w:trPr>
          <w:cantSplit/>
          <w:tblHeader w:val="true"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项目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核心问题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Whether global image matching discards useful local evidence in few-shot classification.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核心方法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Descriptor-level query-to-support matching with aggregated class similarity.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真正变化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paper-framed delta is replacing global matching with learnable local matching inside the few-shot classifier.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最强证据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inspected method section directly describes descriptor-level matching.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最大风险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Performance may depend on local descriptors being class-discriminative rather than noisy.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最重要开放问题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How robust is local matching to uninformative or background descriptors?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关键假设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Local descriptor matches are sufficiently discriminative.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50"/>
        <w:gridCol w:w="6808"/>
      </w:tblGrid>
      <w:tr>
        <w:trPr>
          <w:cantSplit/>
          <w:tblHeader w:val="true"/>
        </w:trPr>
        <w:tc>
          <w:tcPr>
            <w:tcW w:type="dxa" w:w="215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项目</w:t>
            </w:r>
          </w:p>
        </w:tc>
        <w:tc>
          <w:tcPr>
            <w:tcW w:type="dxa" w:w="680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论文内部证据支持</w:t>
            </w:r>
          </w:p>
        </w:tc>
        <w:tc>
          <w:tcPr>
            <w:tcW w:type="dxa" w:w="680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有一定支持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阅读优先级</w:t>
            </w:r>
          </w:p>
        </w:tc>
        <w:tc>
          <w:tcPr>
            <w:tcW w:type="dxa" w:w="680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建议重点阅读核心章节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理由</w:t>
            </w:r>
          </w:p>
        </w:tc>
        <w:tc>
          <w:tcPr>
            <w:tcW w:type="dxa" w:w="680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method is concise; the Method section carries most of the value.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适合读者</w:t>
            </w:r>
          </w:p>
        </w:tc>
        <w:tc>
          <w:tcPr>
            <w:tcW w:type="dxa" w:w="680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Few-shot learning researchers；Metric-learning practitioners</w:t>
            </w:r>
          </w:p>
        </w:tc>
      </w:tr>
    </w:tbl>
    <w:p>
      <w:pPr>
        <w:pStyle w:val="SFEcaption"/>
        <w:keepNext w:val="0"/>
        <w:pageBreakBefore w:val="0"/>
        <w:spacing w:line="264" w:lineRule="auto" w:before="60" w:after="140"/>
        <w:ind w:left="0" w:right="0" w:firstLine="0"/>
        <w:jc w:val="center"/>
        <w:widowControl/>
      </w:pPr>
      <w:r>
        <w:rPr>
          <w:rFonts w:ascii="Times New Roman" w:hAnsi="Times New Roman" w:eastAsia="SimSun" w:cs="Times New Roman"/>
          <w:b w:val="0"/>
          <w:i w:val="0"/>
          <w:color w:val="374151"/>
          <w:sz w:val="19"/>
        </w:rPr>
        <w:t>研究价值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2"/>
        <w:gridCol w:w="1075"/>
        <w:gridCol w:w="6271"/>
      </w:tblGrid>
      <w:tr>
        <w:trPr>
          <w:cantSplit/>
          <w:tblHeader w:val="true"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维度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等级</w:t>
            </w:r>
          </w:p>
        </w:tc>
        <w:tc>
          <w:tcPr>
            <w:tcW w:type="dxa" w:w="62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理由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方法学价值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中</w:t>
            </w:r>
          </w:p>
        </w:tc>
        <w:tc>
          <w:tcPr>
            <w:tcW w:type="dxa" w:w="62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design change is clear and transferable.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实证价值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中</w:t>
            </w:r>
          </w:p>
        </w:tc>
        <w:tc>
          <w:tcPr>
            <w:tcW w:type="dxa" w:w="62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paper reports benchmark evidence, but visual artifacts were not inspected.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应用价值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暂不明确</w:t>
            </w:r>
          </w:p>
        </w:tc>
        <w:tc>
          <w:tcPr>
            <w:tcW w:type="dxa" w:w="62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Deployment robustness is not established.</w:t>
            </w:r>
          </w:p>
        </w:tc>
      </w:tr>
    </w:tbl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材料覆盖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2"/>
        <w:gridCol w:w="1612"/>
        <w:gridCol w:w="5733"/>
      </w:tblGrid>
      <w:tr>
        <w:trPr>
          <w:cantSplit/>
          <w:tblHeader w:val="true"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材料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状态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正文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已获取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Readable body text inspected.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章节结构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已获取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Section structure available.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表格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未获取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Tables not independently inspected.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图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未获取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Figures not independently inspected.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公式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未获取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Equations not independently inspected.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附录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未核验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Appendix not checked.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Supplement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未核验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Supplement not checked.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代码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未核验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Code not checked.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外部文献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未核验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No external novelty verification.</w:t>
            </w:r>
          </w:p>
        </w:tc>
      </w:tr>
    </w:tbl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02 研究问题与 Gap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研究问题：Can descriptor-level matching improve few-shot classification relative to global matching?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19"/>
              </w:rPr>
              <w:t>原文依据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>We propose a local matching method for few-shot classification.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证据: E1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位置: Abstract</w:t>
            </w:r>
          </w:p>
        </w:tc>
      </w:tr>
    </w:tbl>
    <w:p>
      <w:pPr>
        <w:spacing w:after="0"/>
      </w:pP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作者界定的问题：The paper frames global matching as potentially inadequate for few-shot classification.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论文声称的 Gap：The paper motivates local descriptor matching as an alternative to a single global representation.</w:t>
      </w:r>
    </w:p>
    <w:p>
      <w:pPr>
        <w:pStyle w:val="SFEanalysis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PaperScope 判断的实际瓶颈：The operational bottleneck is whether a sparse support set is better represented as a pool of local evidence rather than one global vector.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19"/>
              </w:rPr>
              <w:t>原文依据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>Each query descriptor is compared with support descriptors and the similarities are aggregated.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证据: E2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位置: Method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Gap 判断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Gap 部分成立。The inspected material motivates the gap clearly, but the synthetic example does not include a full prior-work comparison.</w:t>
              <w:br/>
              <w:t>依据：E1、E2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03 核心方法与真实创新</w:t>
      </w:r>
    </w:p>
    <w:p>
      <w:pPr>
        <w:pStyle w:val="SFElead"/>
        <w:keepNext w:val="0"/>
        <w:pageBreakBefore w:val="0"/>
        <w:spacing w:line="348" w:lineRule="auto" w:before="0" w:after="160"/>
        <w:ind w:left="0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2"/>
        </w:rPr>
        <w:t>方法概述：The method performs descriptor-level query-to-support matching.</w:t>
      </w:r>
    </w:p>
    <w:p>
      <w:pPr>
        <w:pStyle w:val="SFEcaption"/>
        <w:keepNext w:val="0"/>
        <w:pageBreakBefore w:val="0"/>
        <w:spacing w:line="264" w:lineRule="auto" w:before="60" w:after="140"/>
        <w:ind w:left="0" w:right="0" w:firstLine="0"/>
        <w:jc w:val="center"/>
        <w:widowControl/>
      </w:pPr>
      <w:r>
        <w:rPr>
          <w:rFonts w:ascii="Times New Roman" w:hAnsi="Times New Roman" w:eastAsia="SimSun" w:cs="Times New Roman"/>
          <w:b w:val="0"/>
          <w:i w:val="0"/>
          <w:color w:val="374151"/>
          <w:sz w:val="19"/>
        </w:rPr>
        <w:t>方法差异链（Method Diff）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0"/>
        <w:gridCol w:w="6898"/>
      </w:tblGrid>
      <w:tr>
        <w:trPr>
          <w:cantSplit/>
          <w:tblHeader w:val="true"/>
        </w:trPr>
        <w:tc>
          <w:tcPr>
            <w:tcW w:type="dxa" w:w="206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环节</w:t>
            </w:r>
          </w:p>
        </w:tc>
        <w:tc>
          <w:tcPr>
            <w:tcW w:type="dxa" w:w="68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06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Previous</w:t>
            </w:r>
          </w:p>
        </w:tc>
        <w:tc>
          <w:tcPr>
            <w:tcW w:type="dxa" w:w="68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paper contrasts the method with global matching.</w:t>
              <w:br/>
              <w:t>依据：E1</w:t>
            </w:r>
          </w:p>
        </w:tc>
      </w:tr>
      <w:tr>
        <w:trPr>
          <w:cantSplit/>
        </w:trPr>
        <w:tc>
          <w:tcPr>
            <w:tcW w:type="dxa" w:w="206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Proposed</w:t>
            </w:r>
          </w:p>
        </w:tc>
        <w:tc>
          <w:tcPr>
            <w:tcW w:type="dxa" w:w="68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Replace global matching with local descriptor aggregation.</w:t>
              <w:br/>
              <w:t>依据：E1、E2</w:t>
            </w:r>
          </w:p>
        </w:tc>
      </w:tr>
      <w:tr>
        <w:trPr>
          <w:cantSplit/>
        </w:trPr>
        <w:tc>
          <w:tcPr>
            <w:tcW w:type="dxa" w:w="206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Mechanism</w:t>
            </w:r>
          </w:p>
        </w:tc>
        <w:tc>
          <w:tcPr>
            <w:tcW w:type="dxa" w:w="68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Query descriptors are compared with support descriptors and similarities are aggregated.</w:t>
              <w:br/>
              <w:t>依据：E2</w:t>
            </w:r>
          </w:p>
        </w:tc>
      </w:tr>
      <w:tr>
        <w:trPr>
          <w:cantSplit/>
        </w:trPr>
        <w:tc>
          <w:tcPr>
            <w:tcW w:type="dxa" w:w="206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Expected Effect</w:t>
            </w:r>
          </w:p>
        </w:tc>
        <w:tc>
          <w:tcPr>
            <w:tcW w:type="dxa" w:w="68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design may preserve local discriminative information.</w:t>
              <w:br/>
              <w:t>依据：E2</w:t>
            </w:r>
          </w:p>
        </w:tc>
      </w:tr>
    </w:tbl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核心模块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5"/>
        <w:gridCol w:w="1254"/>
        <w:gridCol w:w="1075"/>
        <w:gridCol w:w="1971"/>
        <w:gridCol w:w="1075"/>
        <w:gridCol w:w="1792"/>
        <w:gridCol w:w="717"/>
      </w:tblGrid>
      <w:tr>
        <w:trPr>
          <w:cantSplit/>
          <w:tblHeader w:val="true"/>
        </w:trPr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模块</w:t>
            </w:r>
          </w:p>
        </w:tc>
        <w:tc>
          <w:tcPr>
            <w:tcW w:type="dxa" w:w="1254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作用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输入</w:t>
            </w:r>
          </w:p>
        </w:tc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操作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输出</w:t>
            </w:r>
          </w:p>
        </w:tc>
        <w:tc>
          <w:tcPr>
            <w:tcW w:type="dxa" w:w="179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为什么需要</w:t>
            </w:r>
          </w:p>
        </w:tc>
        <w:tc>
          <w:tcPr>
            <w:tcW w:type="dxa" w:w="71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依据</w:t>
            </w:r>
          </w:p>
        </w:tc>
      </w:tr>
      <w:tr>
        <w:trPr>
          <w:cantSplit/>
        </w:trPr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Local Matching</w:t>
            </w:r>
          </w:p>
        </w:tc>
        <w:tc>
          <w:tcPr>
            <w:tcW w:type="dxa" w:w="1254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Compute query-support local similarity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Query and support descriptors</w:t>
            </w:r>
          </w:p>
        </w:tc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Compare descriptors and aggregate similarity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Class similarity</w:t>
            </w:r>
          </w:p>
        </w:tc>
        <w:tc>
          <w:tcPr>
            <w:tcW w:type="dxa" w:w="179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Avoid relying only on a single global vector</w:t>
            </w:r>
          </w:p>
        </w:tc>
        <w:tc>
          <w:tcPr>
            <w:tcW w:type="dxa" w:w="71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E2</w:t>
            </w:r>
          </w:p>
        </w:tc>
      </w:tr>
    </w:tbl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关键假设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FF7ED"/>
            <w:tcBorders>
              <w:top w:val="nil"/>
              <w:left w:val="single" w:sz="18" w:color="EA580C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假设 A1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Local descriptor matches are sufficiently discriminative.</w:t>
              <w:br/>
              <w:t>来源性质：隐含假设</w:t>
              <w:br/>
              <w:t>风险等级：高</w:t>
              <w:br/>
              <w:t>为什么需要：The class similarity depends on local matches carrying class-discriminative signal.</w:t>
              <w:br/>
              <w:t>若不成立：Noisy descriptors could dominate class similarity.</w:t>
              <w:br/>
              <w:t>如何压力测试：Inject descriptor noise or mask high-similarity local regions and measure class-score sensitivity.</w:t>
              <w:br/>
              <w:t>依据：E2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创新判断</w:t>
      </w:r>
    </w:p>
    <w:p>
      <w:pPr>
        <w:pStyle w:val="SFEanalysis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相对本文 prior work 的变化：Relative to the paper-framed baseline, the change is global-to-local matching.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9FAFB"/>
            <w:tcBorders>
              <w:top w:val="nil"/>
              <w:left w:val="single" w:sz="18" w:color="9CA3AF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4B5563"/>
                <w:sz w:val="19"/>
              </w:rPr>
              <w:t>领域首创性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4B5563"/>
                <w:sz w:val="19"/>
              </w:rPr>
              <w:t>未进行系统外部文献核验，暂不判断是否属于领域首次提出。</w:t>
            </w:r>
          </w:p>
        </w:tc>
      </w:tr>
    </w:tbl>
    <w:p>
      <w:pPr>
        <w:spacing w:after="0"/>
      </w:pPr>
    </w:p>
    <w:p>
      <w:pPr>
        <w:pStyle w:val="SFEnote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核验状态：仅完成论文内部比较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主要贡献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贡献 1：The paper integrates local matching into a few-shot classifier.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04 实验与证据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实验解释链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实验 1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实验目的：Test whether local matching improves few-shot classification relative to global matching.</w:t>
              <w:br/>
              <w:t>设计：Compare the proposed local-matching classifier with a global-matching baseline on the paper's reported benchmark.</w:t>
              <w:br/>
              <w:t>比较条件：Synthetic example; exact table/budget details are not included in the example source bundle.</w:t>
              <w:br/>
              <w:t>结果：The paper reports improved accuracy on the tested setup.</w:t>
              <w:br/>
              <w:t>真正支持：The paper provides within-study evidence that local matching can improve the tested setup.</w:t>
              <w:br/>
              <w:t>不能进一步证明：The example does not establish universal superiority across datasets or domains.</w:t>
              <w:br/>
              <w:t>协议风险：Exact table and training-budget details are not included in this synthetic fixture.</w:t>
              <w:br/>
              <w:t>依据：E1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主要结果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结果 1：The paper reports improved accuracy on its tested setup.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Claim–Evidence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bookmarkStart w:id="1087333689" w:name="claim_1"/>
            <w:r/>
            <w:bookmarkEnd w:id="1087333689"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Claim 1｜Core method change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核心判断：The method uses descriptor-level matching instead of only global matching.</w:t>
              <w:br/>
              <w:t>论文内部支持：支持充分</w:t>
              <w:br/>
              <w:t>为什么：The abstract and method section directly describe local descriptor matching.</w:t>
              <w:br/>
              <w:t>证据关系：E1（直接支持）：Directly describes the claimed method change.；E2（直接支持）：Directly describes the claimed method change.</w:t>
              <w:br/>
              <w:t>适用边界：Supports method design, not universal performance superiority.</w:t>
              <w:br/>
              <w:t>不能进一步证明：Local matching is universally superior across tasks and domains.</w:t>
              <w:br/>
              <w:t>如何进一步加强：Run matched-backbone comparisons across multiple datasets and domains.</w:t>
              <w:br/>
              <w:t>外部核验：未进行外部复现/核验</w:t>
              <w:br/>
              <w:t>依据：E1、E2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整体论文内部证据支持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有一定支持</w:t>
            </w:r>
          </w:p>
        </w:tc>
      </w:tr>
    </w:tbl>
    <w:p>
      <w:pPr>
        <w:spacing w:after="0"/>
      </w:pP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仍缺少的验证</w:t>
      </w:r>
    </w:p>
    <w:p>
      <w:pPr>
        <w:pStyle w:val="ListBullet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No external replication was inspected.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05 批判性评价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当前材料仍无法确认</w:t>
      </w:r>
    </w:p>
    <w:p>
      <w:pPr>
        <w:pStyle w:val="ListBullet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Current materials do not establish cross-domain robustness.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PaperScope 分析出的局限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Robustness to noisy local descriptors is not established.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PaperScope 判断的核心缺陷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FF7F7"/>
            <w:tcBorders>
              <w:top w:val="nil"/>
              <w:left w:val="single" w:sz="18" w:color="B91C1C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bookmarkStart w:id="1716042835" w:name="weakness_1"/>
            <w:r/>
            <w:bookmarkEnd w:id="1716042835"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核心缺陷 1｜Sensitivity to uninformative local descriptors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缺陷是什么：The class score aggregates many local nearest-neighbor matches without evidence in this synthetic fixture that every descriptor is equally discriminative.</w:t>
              <w:br/>
              <w:t>为什么重要：If background or weak descriptors receive high-similarity neighbors, they can contribute misleading evidence to the final class score.</w:t>
              <w:br/>
              <w:t>潜在影响：The central claim that local matching improves classification may weaken under clutter, domain shift, or fine-grained ambiguity.</w:t>
              <w:br/>
              <w:t>如何验证：Inject descriptor noise or mask foreground/background regions while holding the backbone and support set fixed, then measure class-score and accuracy sensitivity.</w:t>
              <w:br/>
              <w:t>关联主张：Core method change</w:t>
              <w:br/>
              <w:t>关联假设：A1</w:t>
              <w:br/>
              <w:t>依据：E2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脆弱假设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FF7ED"/>
            <w:tcBorders>
              <w:top w:val="nil"/>
              <w:left w:val="single" w:sz="18" w:color="EA580C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脆弱假设 A1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Local descriptor matches are sufficiently discriminative.</w:t>
              <w:br/>
              <w:t>若不成立：Noisy descriptors could dominate class similarity.</w:t>
              <w:br/>
              <w:t>建议压力测试：Inject descriptor noise or mask high-similarity local regions and measure class-score sensitivity.</w:t>
              <w:br/>
              <w:t>依据：E2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审稿人可能关注的问题（Reviewer Questions）</w:t>
      </w:r>
    </w:p>
    <w:p>
      <w:pPr>
        <w:pStyle w:val="ListNumber"/>
        <w:keepNext w:val="0"/>
        <w:pageBreakBefore w:val="0"/>
        <w:spacing w:line="348" w:lineRule="auto" w:before="0" w:after="100"/>
        <w:ind w:left="0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How sensitive is performance to descriptor noise?</w:t>
      </w: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复现风险</w:t>
      </w:r>
    </w:p>
    <w:p>
      <w:pPr>
        <w:pStyle w:val="ListBullet"/>
        <w:keepNext w:val="0"/>
        <w:pageBreakBefore w:val="0"/>
        <w:spacing w:line="348" w:lineRule="auto" w:before="0" w:after="100"/>
        <w:ind w:left="0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Exact visual artifacts were not inspected.</w:t>
      </w: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评估风险</w:t>
      </w:r>
    </w:p>
    <w:p>
      <w:pPr>
        <w:pStyle w:val="ListBullet"/>
        <w:keepNext w:val="0"/>
        <w:pageBreakBefore w:val="0"/>
        <w:spacing w:line="348" w:lineRule="auto" w:before="0" w:after="100"/>
        <w:ind w:left="0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Cross-domain generalization is not established.</w:t>
      </w: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适用边界</w:t>
      </w:r>
    </w:p>
    <w:p>
      <w:pPr>
        <w:pStyle w:val="SFEanalysis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Current evidence supports the reported few-shot setup only.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06 开放问题与精读建议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开放问题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Open Question 1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问题：How sensitive is local matching to uninformative descriptors?</w:t>
              <w:br/>
              <w:t>来源：PaperScope 分析得到</w:t>
              <w:br/>
              <w:t>为什么重要：The core similarity aggregates many local matches.</w:t>
              <w:br/>
              <w:t>建议如何验证：Stress-test descriptor masking, weighting, and noise injection while holding the backbone fixed.</w:t>
              <w:br/>
              <w:t>依据：E2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后续研究方向（PaperScope 分析）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DFA"/>
            <w:tcBorders>
              <w:top w:val="nil"/>
              <w:left w:val="single" w:sz="18" w:color="0F766E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bookmarkStart w:id="449403439" w:name="research_direction_1"/>
            <w:r/>
            <w:bookmarkEnd w:id="449403439"/>
            <w:r>
              <w:rPr>
                <w:rFonts w:ascii="Times New Roman" w:hAnsi="Times New Roman" w:eastAsia="SimSun" w:cs="Times New Roman"/>
                <w:b/>
                <w:i w:val="0"/>
                <w:color w:val="134E4A"/>
                <w:sz w:val="20"/>
              </w:rPr>
              <w:t>方向 1｜Reliability-aware local matching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34E4A"/>
                <w:sz w:val="20"/>
              </w:rPr>
              <w:t>目标问题：Determine whether all local descriptors should contribute equally to image-to-class similarity when some descriptors are background or weakly discriminative.</w:t>
              <w:br/>
              <w:t>为什么值得继续：The method aggregates many local matches and the core weakness concerns sensitivity to uninformative descriptors.</w:t>
              <w:br/>
              <w:t>优先验证：Measure descriptor reliability, class-score sensitivity, and robustness under controlled background/noise perturbations before designing a new mechanism.</w:t>
              <w:br/>
              <w:t>边界说明：This is a PaperScope analysis-derived follow-up direction, not an author-stated proposal.</w:t>
              <w:br/>
              <w:t>依据：E2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精读路线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65"/>
        <w:gridCol w:w="2239"/>
        <w:gridCol w:w="4479"/>
        <w:gridCol w:w="1075"/>
      </w:tblGrid>
      <w:tr>
        <w:trPr>
          <w:cantSplit/>
          <w:tblHeader w:val="true"/>
        </w:trPr>
        <w:tc>
          <w:tcPr>
            <w:tcW w:type="dxa" w:w="116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优先级</w:t>
            </w:r>
          </w:p>
        </w:tc>
        <w:tc>
          <w:tcPr>
            <w:tcW w:type="dxa" w:w="223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原文位置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为什么值得看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依据</w:t>
            </w:r>
          </w:p>
        </w:tc>
      </w:tr>
      <w:tr>
        <w:trPr>
          <w:cantSplit/>
        </w:trPr>
        <w:tc>
          <w:tcPr>
            <w:tcW w:type="dxa" w:w="116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必读</w:t>
            </w:r>
          </w:p>
        </w:tc>
        <w:tc>
          <w:tcPr>
            <w:tcW w:type="dxa" w:w="223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Method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Defines the local matching mechanism.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E2</w:t>
            </w:r>
          </w:p>
        </w:tc>
      </w:tr>
    </w:tbl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20 分钟阅读路线</w:t>
      </w:r>
    </w:p>
    <w:p>
      <w:pPr>
        <w:pStyle w:val="ListNumber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Abstract｜为什么看：Establish the claimed problem and high-level method change.｜看完应得到：Understand what the paper says is different.</w:t>
      </w:r>
    </w:p>
    <w:p>
      <w:pPr>
        <w:pStyle w:val="ListNumber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Method｜为什么看：Inspect the descriptor-level matching mechanism.｜看完应得到：Understand how query and support descriptors are compared.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材料边界与说明</w:t>
      </w:r>
    </w:p>
    <w:p>
      <w:pPr>
        <w:pStyle w:val="ListBullet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This example is synthetic and demonstrates schema structure only.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附录：证据索引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bookmarkStart w:id="1512509735" w:name="evidence_ev_001"/>
            <w:r/>
            <w:bookmarkEnd w:id="1512509735"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19"/>
              </w:rPr>
              <w:t>E1 · 原文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>We propose a local matching method for few-shot classification.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位置: Abstract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材料类型: 摘要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证据性质: 问题界定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支持: Claim 1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bookmarkStart w:id="1506529107" w:name="evidence_ev_002"/>
            <w:r/>
            <w:bookmarkEnd w:id="1506529107"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19"/>
              </w:rPr>
              <w:t>E2 · 原文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>Each query descriptor is compared with support descriptors and the similarities are aggregated.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位置: Method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材料类型: 正文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证据性质: 方法定义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支持: Claim 1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pageBreakBefore w:val="0"/>
      <w:spacing w:line="312" w:lineRule="auto" w:before="0" w:after="0"/>
      <w:ind w:left="0" w:right="0" w:firstLine="0"/>
      <w:jc w:val="left"/>
      <w:widowControl/>
    </w:pPr>
    <w:r>
      <w:rPr>
        <w:rFonts w:ascii="Times New Roman" w:hAnsi="Times New Roman" w:eastAsia="SimSun" w:cs="Times New Roman"/>
        <w:b w:val="0"/>
        <w:i w:val="0"/>
        <w:color w:val="4B5563"/>
        <w:sz w:val="19"/>
      </w:rPr>
      <w:t>Scholar AI</w:t>
    </w:r>
    <w:r>
      <w:rPr>
        <w:rFonts w:ascii="Times New Roman" w:hAnsi="Times New Roman" w:eastAsia="SimSun" w:cs="Times New Roman"/>
        <w:b w:val="0"/>
        <w:i w:val="0"/>
        <w:color w:val="4B5563"/>
        <w:sz w:val="19"/>
      </w:rPr>
      <w:t xml:space="preserve"> · </w:t>
    </w:r>
    <w:r>
      <w:rPr>
        <w:rFonts w:ascii="Times New Roman" w:hAnsi="Times New Roman" w:eastAsia="SimSun" w:cs="Times New Roman"/>
        <w:b w:val="0"/>
        <w:i w:val="0"/>
        <w:color w:val="4B5563"/>
        <w:sz w:val="19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pageBreakBefore w:val="0"/>
      <w:spacing w:line="312" w:lineRule="auto" w:before="0" w:after="0"/>
      <w:ind w:left="0" w:right="0" w:firstLine="0"/>
      <w:jc w:val="left"/>
      <w:widowControl/>
    </w:pPr>
    <w:r>
      <w:rPr>
        <w:rFonts w:ascii="Times New Roman" w:hAnsi="Times New Roman" w:eastAsia="SimSun" w:cs="Times New Roman"/>
        <w:b w:val="0"/>
        <w:i w:val="0"/>
        <w:color w:val="4B5563"/>
        <w:sz w:val="19"/>
      </w:rPr>
      <w:t>Scholar AI · AI 论文精读报告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spacing w:line="348" w:lineRule="auto" w:before="0" w:after="100"/>
      <w:ind w:left="0" w:right="0" w:firstLine="420"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60" w:line="264" w:lineRule="auto"/>
      <w:ind w:left="0" w:right="0" w:firstLine="0"/>
      <w:jc w:val="left"/>
      <w:outlineLvl w:val="0"/>
      <w:widowControl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 w:line="276" w:lineRule="auto"/>
      <w:ind w:left="0" w:right="0" w:firstLine="0"/>
      <w:jc w:val="left"/>
      <w:outlineLvl w:val="1"/>
      <w:widowControl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1E293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80" w:line="276" w:lineRule="auto"/>
      <w:ind w:left="0" w:right="0" w:firstLine="0"/>
      <w:jc w:val="left"/>
      <w:outlineLvl w:val="2"/>
      <w:widowControl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140" w:line="264" w:lineRule="auto" w:before="0"/>
      <w:ind w:left="0" w:right="0" w:firstLine="0"/>
      <w:contextualSpacing/>
      <w:jc w:val="center"/>
      <w:widowControl/>
    </w:pPr>
    <w:rPr>
      <w:rFonts w:asciiTheme="majorHAnsi" w:eastAsiaTheme="majorEastAsia" w:hAnsiTheme="majorHAnsi" w:cstheme="majorBidi" w:ascii="Arial" w:hAnsi="Arial" w:eastAsia="Microsoft YaHei"/>
      <w:b/>
      <w:i w:val="0"/>
      <w:color w:val="0F172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pageBreakBefore w:val="0"/>
      <w:numPr>
        <w:numId w:val="1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keepNext w:val="0"/>
      <w:pageBreakBefore w:val="0"/>
      <w:numPr>
        <w:numId w:val="2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pageBreakBefore w:val="0"/>
      <w:numPr>
        <w:numId w:val="5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keepNext w:val="0"/>
      <w:pageBreakBefore w:val="0"/>
      <w:numPr>
        <w:numId w:val="6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FEsubtitle">
    <w:name w:val="SFE subtitle"/>
    <w:pPr>
      <w:keepNext/>
      <w:pageBreakBefore w:val="0"/>
      <w:spacing w:line="276" w:lineRule="auto" w:before="0" w:after="200"/>
      <w:ind w:left="0" w:right="0" w:firstLine="0"/>
      <w:jc w:val="center"/>
      <w:widowControl/>
    </w:pPr>
    <w:rPr>
      <w:rFonts w:ascii="Times New Roman" w:hAnsi="Times New Roman" w:eastAsia="Microsoft YaHei"/>
      <w:b w:val="0"/>
      <w:i w:val="0"/>
      <w:color w:val="334155"/>
      <w:sz w:val="25"/>
    </w:rPr>
  </w:style>
  <w:style w:type="paragraph" w:customStyle="1" w:styleId="SFElead">
    <w:name w:val="SFE lead"/>
    <w:pPr>
      <w:keepNext w:val="0"/>
      <w:pageBreakBefore w:val="0"/>
      <w:spacing w:line="348" w:lineRule="auto" w:before="0" w:after="160"/>
      <w:ind w:left="0" w:right="0" w:firstLine="0"/>
      <w:jc w:val="both"/>
      <w:widowControl/>
    </w:pPr>
    <w:rPr>
      <w:rFonts w:ascii="Times New Roman" w:hAnsi="Times New Roman" w:eastAsia="SimSun"/>
      <w:b w:val="0"/>
      <w:i w:val="0"/>
      <w:color w:val="111827"/>
      <w:sz w:val="22"/>
    </w:rPr>
  </w:style>
  <w:style w:type="paragraph" w:customStyle="1" w:styleId="SFEquote">
    <w:name w:val="SFE quote"/>
    <w:pPr>
      <w:keepNext w:val="0"/>
      <w:pageBreakBefore w:val="0"/>
      <w:spacing w:line="324" w:lineRule="auto" w:before="80" w:after="120"/>
      <w:ind w:left="454" w:right="283" w:firstLine="0"/>
      <w:jc w:val="left"/>
      <w:widowControl/>
    </w:pPr>
    <w:rPr>
      <w:rFonts w:ascii="Times New Roman" w:hAnsi="Times New Roman" w:eastAsia="SimSun"/>
      <w:b w:val="0"/>
      <w:i w:val="0"/>
      <w:color w:val="374151"/>
      <w:sz w:val="20"/>
    </w:rPr>
  </w:style>
  <w:style w:type="paragraph" w:customStyle="1" w:styleId="SFEevidence">
    <w:name w:val="SFE evidence"/>
    <w:pPr>
      <w:keepNext w:val="0"/>
      <w:pageBreakBefore w:val="0"/>
      <w:spacing w:line="312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19"/>
    </w:rPr>
  </w:style>
  <w:style w:type="paragraph" w:customStyle="1" w:styleId="SFEanalysis">
    <w:name w:val="SFE analysis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warning">
    <w:name w:val="SFE warning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limitation">
    <w:name w:val="SFE limitation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note">
    <w:name w:val="SFE note"/>
    <w:pPr>
      <w:keepNext w:val="0"/>
      <w:pageBreakBefore w:val="0"/>
      <w:spacing w:line="312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4B5563"/>
      <w:sz w:val="19"/>
    </w:rPr>
  </w:style>
  <w:style w:type="paragraph" w:customStyle="1" w:styleId="SFEreviewer_comment">
    <w:name w:val="SFE reviewer_comment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author_response">
    <w:name w:val="SFE author_response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4532D"/>
      <w:sz w:val="20"/>
    </w:rPr>
  </w:style>
  <w:style w:type="paragraph" w:customStyle="1" w:styleId="SFEcaption">
    <w:name w:val="SFE caption"/>
    <w:pPr>
      <w:keepNext w:val="0"/>
      <w:pageBreakBefore w:val="0"/>
      <w:spacing w:line="264" w:lineRule="auto" w:before="60" w:after="140"/>
      <w:ind w:left="0" w:right="0" w:firstLine="0"/>
      <w:jc w:val="center"/>
      <w:widowControl/>
    </w:pPr>
    <w:rPr>
      <w:rFonts w:ascii="Times New Roman" w:hAnsi="Times New Roman" w:eastAsia="SimSun"/>
      <w:b w:val="0"/>
      <w:i w:val="0"/>
      <w:color w:val="374151"/>
      <w:sz w:val="19"/>
    </w:rPr>
  </w:style>
  <w:style w:type="paragraph" w:customStyle="1" w:styleId="SFEtable">
    <w:name w:val="SFE table"/>
    <w:pPr>
      <w:keepNext w:val="0"/>
      <w:pageBreakBefore w:val="0"/>
      <w:spacing w:line="276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11827"/>
      <w:sz w:val="19"/>
    </w:rPr>
  </w:style>
  <w:style w:type="paragraph" w:customStyle="1" w:styleId="SFEtable_header">
    <w:name w:val="SFE table_header"/>
    <w:pPr>
      <w:keepNext/>
      <w:pageBreakBefore w:val="0"/>
      <w:spacing w:line="264" w:lineRule="auto" w:before="0" w:after="0"/>
      <w:ind w:left="0" w:right="0" w:firstLine="0"/>
      <w:jc w:val="center"/>
      <w:widowControl/>
    </w:pPr>
    <w:rPr>
      <w:rFonts w:ascii="Times New Roman" w:hAnsi="Times New Roman" w:eastAsia="Microsoft YaHei"/>
      <w:b/>
      <w:i w:val="0"/>
      <w:color w:val="111827"/>
      <w:sz w:val="19"/>
    </w:rPr>
  </w:style>
  <w:style w:type="paragraph" w:customStyle="1" w:styleId="SFEcode">
    <w:name w:val="SFE code"/>
    <w:pPr>
      <w:keepNext w:val="0"/>
      <w:pageBreakBefore w:val="0"/>
      <w:spacing w:line="276" w:lineRule="auto" w:before="60" w:after="100"/>
      <w:ind w:left="340" w:right="340" w:firstLine="0"/>
      <w:jc w:val="left"/>
      <w:widowControl/>
    </w:pPr>
    <w:rPr>
      <w:rFonts w:ascii="Consolas" w:hAnsi="Consolas" w:eastAsia="Microsoft YaHei"/>
      <w:b w:val="0"/>
      <w:i w:val="0"/>
      <w:color w:val="111827"/>
      <w:sz w:val="19"/>
    </w:rPr>
  </w:style>
  <w:style w:type="paragraph" w:customStyle="1" w:styleId="SFEequation">
    <w:name w:val="SFE equation"/>
    <w:pPr>
      <w:keepNext w:val="0"/>
      <w:pageBreakBefore w:val="0"/>
      <w:spacing w:line="288" w:lineRule="auto" w:before="100" w:after="100"/>
      <w:ind w:left="0" w:right="0" w:firstLine="0"/>
      <w:jc w:val="center"/>
      <w:widowControl/>
    </w:pPr>
    <w:rPr>
      <w:rFonts w:ascii="Cambria Math" w:hAnsi="Cambria Math" w:eastAsia="Cambria Math"/>
      <w:b w:val="0"/>
      <w:i/>
      <w:color w:val="111827"/>
      <w:sz w:val="22"/>
    </w:rPr>
  </w:style>
  <w:style w:type="paragraph" w:customStyle="1" w:styleId="SFEresearch_direction">
    <w:name w:val="SFE research_direction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34E4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