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pageBreakBefore w:val="0"/>
        <w:spacing w:line="264" w:lineRule="auto" w:before="0" w:after="140"/>
        <w:ind w:left="0" w:right="0" w:firstLine="0"/>
        <w:jc w:val="center"/>
        <w:widowControl/>
      </w:pPr>
      <w:r>
        <w:rPr>
          <w:rFonts w:ascii="Arial" w:hAnsi="Arial" w:eastAsia="Microsoft YaHei" w:cs="Arial"/>
          <w:b/>
          <w:i w:val="0"/>
          <w:color w:val="0F172A"/>
          <w:sz w:val="38"/>
        </w:rPr>
        <w:t>AI 论文精读报告</w:t>
      </w:r>
    </w:p>
    <w:p>
      <w:pPr>
        <w:pStyle w:val="SFEsubtitle"/>
        <w:keepNext/>
        <w:pageBreakBefore w:val="0"/>
        <w:spacing w:line="276" w:lineRule="auto" w:before="0" w:after="200"/>
        <w:ind w:left="0" w:right="0" w:firstLine="0"/>
        <w:jc w:val="center"/>
        <w:widowControl/>
      </w:pPr>
      <w:r>
        <w:rPr>
          <w:rFonts w:ascii="Times New Roman" w:hAnsi="Times New Roman" w:eastAsia="Microsoft YaHei" w:cs="Times New Roman"/>
          <w:b w:val="0"/>
          <w:i w:val="0"/>
          <w:color w:val="334155"/>
          <w:sz w:val="25"/>
        </w:rPr>
        <w:t>Example Method Paper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cantSplit/>
        </w:trPr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  <w:shd w:fill="F4F7FB"/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作者</w:t>
            </w:r>
          </w:p>
        </w:tc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A. Author</w:t>
            </w:r>
          </w:p>
        </w:tc>
      </w:tr>
      <w:tr>
        <w:trPr>
          <w:cantSplit/>
        </w:trPr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  <w:shd w:fill="F4F7FB"/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年份</w:t>
            </w:r>
          </w:p>
        </w:tc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2026</w:t>
            </w:r>
          </w:p>
        </w:tc>
      </w:tr>
      <w:tr>
        <w:trPr>
          <w:cantSplit/>
        </w:trPr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  <w:shd w:fill="F4F7FB"/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分析版本</w:t>
            </w:r>
          </w:p>
        </w:tc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Uploaded PDF</w:t>
            </w:r>
          </w:p>
        </w:tc>
      </w:tr>
      <w:tr>
        <w:trPr>
          <w:cantSplit/>
        </w:trPr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  <w:shd w:fill="F4F7FB"/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材料覆盖</w:t>
            </w:r>
          </w:p>
        </w:tc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充分</w:t>
            </w:r>
          </w:p>
        </w:tc>
      </w:tr>
      <w:tr>
        <w:trPr>
          <w:cantSplit/>
        </w:trPr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  <w:shd w:fill="F4F7FB"/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证据定位</w:t>
            </w:r>
          </w:p>
        </w:tc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可定位至章节/图表</w:t>
            </w:r>
          </w:p>
        </w:tc>
      </w:tr>
      <w:tr>
        <w:trPr>
          <w:cantSplit/>
        </w:trPr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  <w:shd w:fill="F4F7FB"/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外部核验</w:t>
            </w:r>
          </w:p>
        </w:tc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仅基于本文</w:t>
            </w:r>
          </w:p>
        </w:tc>
      </w:tr>
    </w:tbl>
    <w:p>
      <w:pPr>
        <w:spacing w:after="0"/>
      </w:pPr>
    </w:p>
    <w:p>
      <w:pPr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0F172A"/>
          <w:sz w:val="30"/>
        </w:rPr>
        <w:t>目录</w:t>
      </w:r>
    </w:p>
    <w:p>
      <w:pPr>
        <w:keepNext w:val="0"/>
        <w:pageBreakBefore w:val="0"/>
        <w:spacing w:line="348" w:lineRule="auto" w:before="0" w:after="100"/>
        <w:ind w:left="227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01 论文速览</w:t>
      </w:r>
    </w:p>
    <w:p>
      <w:pPr>
        <w:keepNext w:val="0"/>
        <w:pageBreakBefore w:val="0"/>
        <w:spacing w:line="348" w:lineRule="auto" w:before="0" w:after="100"/>
        <w:ind w:left="227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02 研究问题与 Gap</w:t>
      </w:r>
    </w:p>
    <w:p>
      <w:pPr>
        <w:keepNext w:val="0"/>
        <w:pageBreakBefore w:val="0"/>
        <w:spacing w:line="348" w:lineRule="auto" w:before="0" w:after="100"/>
        <w:ind w:left="227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03 核心方法与真实创新</w:t>
      </w:r>
    </w:p>
    <w:p>
      <w:pPr>
        <w:keepNext w:val="0"/>
        <w:pageBreakBefore w:val="0"/>
        <w:spacing w:line="348" w:lineRule="auto" w:before="0" w:after="100"/>
        <w:ind w:left="227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04 实验与证据</w:t>
      </w:r>
    </w:p>
    <w:p>
      <w:pPr>
        <w:keepNext w:val="0"/>
        <w:pageBreakBefore w:val="0"/>
        <w:spacing w:line="348" w:lineRule="auto" w:before="0" w:after="100"/>
        <w:ind w:left="227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05 批判性评价</w:t>
      </w:r>
    </w:p>
    <w:p>
      <w:pPr>
        <w:keepNext w:val="0"/>
        <w:pageBreakBefore w:val="0"/>
        <w:spacing w:line="348" w:lineRule="auto" w:before="0" w:after="100"/>
        <w:ind w:left="227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06 开放问题与精读建议</w:t>
      </w:r>
    </w:p>
    <w:p>
      <w:pPr>
        <w:keepNext w:val="0"/>
        <w:pageBreakBefore w:val="0"/>
        <w:spacing w:line="348" w:lineRule="auto" w:before="0" w:after="100"/>
        <w:ind w:left="227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材料边界与说明</w:t>
      </w:r>
    </w:p>
    <w:p>
      <w:pPr>
        <w:keepNext w:val="0"/>
        <w:pageBreakBefore w:val="0"/>
        <w:spacing w:line="348" w:lineRule="auto" w:before="0" w:after="100"/>
        <w:ind w:left="227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附录：证据索引</w:t>
      </w:r>
    </w:p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0F172A"/>
          <w:sz w:val="30"/>
        </w:rPr>
        <w:t>01 论文速览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5F3FF"/>
            <w:tcBorders>
              <w:top w:val="nil"/>
              <w:left w:val="single" w:sz="18" w:color="7C3AED"/>
              <w:bottom w:val="nil"/>
              <w:right w:val="nil"/>
            </w:tcBorders>
          </w:tcPr>
          <w:p>
            <w:pPr>
              <w:keepNext w:val="0"/>
              <w:pageBreakBefore w:val="0"/>
              <w:spacing w:line="32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20"/>
              </w:rPr>
              <w:t>一句话看懂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20"/>
              </w:rPr>
              <w:t>The paper replaces global matching with descriptor-level matching, with bounded evidence for the tested setup.</w:t>
            </w:r>
          </w:p>
        </w:tc>
      </w:tr>
    </w:tbl>
    <w:p>
      <w:pPr>
        <w:spacing w:after="0"/>
      </w:pPr>
    </w:p>
    <w:p>
      <w:pPr>
        <w:pStyle w:val="SFEcaption"/>
        <w:keepNext w:val="0"/>
        <w:pageBreakBefore w:val="0"/>
        <w:spacing w:line="264" w:lineRule="auto" w:before="60" w:after="140"/>
        <w:ind w:left="0" w:right="0" w:firstLine="0"/>
        <w:jc w:val="center"/>
        <w:widowControl/>
      </w:pPr>
      <w:r>
        <w:rPr>
          <w:rFonts w:ascii="Times New Roman" w:hAnsi="Times New Roman" w:eastAsia="SimSun" w:cs="Times New Roman"/>
          <w:b w:val="0"/>
          <w:i w:val="0"/>
          <w:color w:val="374151"/>
          <w:sz w:val="19"/>
        </w:rPr>
        <w:t>科研判断卡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1"/>
        <w:gridCol w:w="6987"/>
      </w:tblGrid>
      <w:tr>
        <w:trPr>
          <w:cantSplit/>
          <w:tblHeader w:val="true"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项目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判断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核心问题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Whether global image matching discards useful local evidence in few-shot classification.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核心方法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Descriptor-level query-to-support matching with aggregated class similarity.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真正变化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The paper-framed delta is replacing global matching with learnable local matching inside the few-shot classifier.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最强证据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The inspected method section directly describes descriptor-level matching.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最大风险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Performance may depend on local descriptors being class-discriminative rather than noisy.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最重要开放问题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How robust is local matching to uninformative or background descriptors?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关键假设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Local descriptor matches are sufficiently discriminative.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50"/>
        <w:gridCol w:w="6808"/>
      </w:tblGrid>
      <w:tr>
        <w:trPr>
          <w:cantSplit/>
          <w:tblHeader w:val="true"/>
        </w:trPr>
        <w:tc>
          <w:tcPr>
            <w:tcW w:type="dxa" w:w="215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项目</w:t>
            </w:r>
          </w:p>
        </w:tc>
        <w:tc>
          <w:tcPr>
            <w:tcW w:type="dxa" w:w="680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判断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论文内部证据支持</w:t>
            </w:r>
          </w:p>
        </w:tc>
        <w:tc>
          <w:tcPr>
            <w:tcW w:type="dxa" w:w="680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有一定支持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阅读优先级</w:t>
            </w:r>
          </w:p>
        </w:tc>
        <w:tc>
          <w:tcPr>
            <w:tcW w:type="dxa" w:w="680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建议重点阅读核心章节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理由</w:t>
            </w:r>
          </w:p>
        </w:tc>
        <w:tc>
          <w:tcPr>
            <w:tcW w:type="dxa" w:w="680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The method is concise; the Method section carries most of the value.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适合读者</w:t>
            </w:r>
          </w:p>
        </w:tc>
        <w:tc>
          <w:tcPr>
            <w:tcW w:type="dxa" w:w="680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Few-shot learning researchers；Metric-learning practitioners</w:t>
            </w:r>
          </w:p>
        </w:tc>
      </w:tr>
    </w:tbl>
    <w:p>
      <w:pPr>
        <w:pStyle w:val="SFEcaption"/>
        <w:keepNext w:val="0"/>
        <w:pageBreakBefore w:val="0"/>
        <w:spacing w:line="264" w:lineRule="auto" w:before="60" w:after="140"/>
        <w:ind w:left="0" w:right="0" w:firstLine="0"/>
        <w:jc w:val="center"/>
        <w:widowControl/>
      </w:pPr>
      <w:r>
        <w:rPr>
          <w:rFonts w:ascii="Times New Roman" w:hAnsi="Times New Roman" w:eastAsia="SimSun" w:cs="Times New Roman"/>
          <w:b w:val="0"/>
          <w:i w:val="0"/>
          <w:color w:val="374151"/>
          <w:sz w:val="19"/>
        </w:rPr>
        <w:t>研究价值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2"/>
        <w:gridCol w:w="1075"/>
        <w:gridCol w:w="6271"/>
      </w:tblGrid>
      <w:tr>
        <w:trPr>
          <w:cantSplit/>
          <w:tblHeader w:val="true"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维度</w:t>
            </w:r>
          </w:p>
        </w:tc>
        <w:tc>
          <w:tcPr>
            <w:tcW w:type="dxa" w:w="107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等级</w:t>
            </w:r>
          </w:p>
        </w:tc>
        <w:tc>
          <w:tcPr>
            <w:tcW w:type="dxa" w:w="62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理由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方法学价值</w:t>
            </w:r>
          </w:p>
        </w:tc>
        <w:tc>
          <w:tcPr>
            <w:tcW w:type="dxa" w:w="107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中</w:t>
            </w:r>
          </w:p>
        </w:tc>
        <w:tc>
          <w:tcPr>
            <w:tcW w:type="dxa" w:w="62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The design change is clear and transferable.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实证价值</w:t>
            </w:r>
          </w:p>
        </w:tc>
        <w:tc>
          <w:tcPr>
            <w:tcW w:type="dxa" w:w="107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中</w:t>
            </w:r>
          </w:p>
        </w:tc>
        <w:tc>
          <w:tcPr>
            <w:tcW w:type="dxa" w:w="62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The paper reports benchmark evidence, but visual artifacts were not inspected.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应用价值</w:t>
            </w:r>
          </w:p>
        </w:tc>
        <w:tc>
          <w:tcPr>
            <w:tcW w:type="dxa" w:w="107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暂不明确</w:t>
            </w:r>
          </w:p>
        </w:tc>
        <w:tc>
          <w:tcPr>
            <w:tcW w:type="dxa" w:w="62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Deployment robustness is not established.</w:t>
            </w:r>
          </w:p>
        </w:tc>
      </w:tr>
    </w:tbl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材料覆盖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2"/>
        <w:gridCol w:w="1612"/>
        <w:gridCol w:w="5733"/>
      </w:tblGrid>
      <w:tr>
        <w:trPr>
          <w:cantSplit/>
          <w:tblHeader w:val="true"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材料</w:t>
            </w:r>
          </w:p>
        </w:tc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状态</w:t>
            </w:r>
          </w:p>
        </w:tc>
        <w:tc>
          <w:tcPr>
            <w:tcW w:type="dxa" w:w="5733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正文</w:t>
            </w:r>
          </w:p>
        </w:tc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已获取</w:t>
            </w:r>
          </w:p>
        </w:tc>
        <w:tc>
          <w:tcPr>
            <w:tcW w:type="dxa" w:w="5733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Readable body text inspected.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章节结构</w:t>
            </w:r>
          </w:p>
        </w:tc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已获取</w:t>
            </w:r>
          </w:p>
        </w:tc>
        <w:tc>
          <w:tcPr>
            <w:tcW w:type="dxa" w:w="5733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Section structure available.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表格</w:t>
            </w:r>
          </w:p>
        </w:tc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未获取</w:t>
            </w:r>
          </w:p>
        </w:tc>
        <w:tc>
          <w:tcPr>
            <w:tcW w:type="dxa" w:w="5733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Tables not independently inspected.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图</w:t>
            </w:r>
          </w:p>
        </w:tc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未获取</w:t>
            </w:r>
          </w:p>
        </w:tc>
        <w:tc>
          <w:tcPr>
            <w:tcW w:type="dxa" w:w="5733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Figures not independently inspected.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公式</w:t>
            </w:r>
          </w:p>
        </w:tc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未获取</w:t>
            </w:r>
          </w:p>
        </w:tc>
        <w:tc>
          <w:tcPr>
            <w:tcW w:type="dxa" w:w="5733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Equations not independently inspected.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附录</w:t>
            </w:r>
          </w:p>
        </w:tc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未核验</w:t>
            </w:r>
          </w:p>
        </w:tc>
        <w:tc>
          <w:tcPr>
            <w:tcW w:type="dxa" w:w="5733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Appendix not checked.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Supplement</w:t>
            </w:r>
          </w:p>
        </w:tc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未核验</w:t>
            </w:r>
          </w:p>
        </w:tc>
        <w:tc>
          <w:tcPr>
            <w:tcW w:type="dxa" w:w="5733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Supplement not checked.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代码</w:t>
            </w:r>
          </w:p>
        </w:tc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未核验</w:t>
            </w:r>
          </w:p>
        </w:tc>
        <w:tc>
          <w:tcPr>
            <w:tcW w:type="dxa" w:w="5733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Code not checked.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外部文献</w:t>
            </w:r>
          </w:p>
        </w:tc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未核验</w:t>
            </w:r>
          </w:p>
        </w:tc>
        <w:tc>
          <w:tcPr>
            <w:tcW w:type="dxa" w:w="5733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No external novelty verification.</w:t>
            </w:r>
          </w:p>
        </w:tc>
      </w:tr>
    </w:tbl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0F172A"/>
          <w:sz w:val="30"/>
        </w:rPr>
        <w:t>02 研究问题与 Gap</w:t>
      </w:r>
    </w:p>
    <w:p>
      <w:pPr>
        <w:keepNext w:val="0"/>
        <w:pageBreakBefore w:val="0"/>
        <w:spacing w:line="348" w:lineRule="auto" w:before="0" w:after="100"/>
        <w:ind w:left="0" w:right="0" w:firstLine="42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研究问题：Can descriptor-level matching improve few-shot classification relative to global matching?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0F9FF"/>
            <w:tcBorders>
              <w:top w:val="nil"/>
              <w:left w:val="single" w:sz="18" w:color="0284C7"/>
              <w:bottom w:val="nil"/>
              <w:right w:val="nil"/>
            </w:tcBorders>
          </w:tcPr>
          <w:p>
            <w:pPr>
              <w:keepNext w:val="0"/>
              <w:pageBreakBefore w:val="0"/>
              <w:spacing w:line="312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19"/>
              </w:rPr>
              <w:t>原文依据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>We propose a local matching method for few-shot classification.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br/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证据: E1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 xml:space="preserve"> · </w:t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位置: Abstract</w:t>
            </w:r>
          </w:p>
        </w:tc>
      </w:tr>
    </w:tbl>
    <w:p>
      <w:pPr>
        <w:spacing w:after="0"/>
      </w:pPr>
    </w:p>
    <w:p>
      <w:pPr>
        <w:keepNext w:val="0"/>
        <w:pageBreakBefore w:val="0"/>
        <w:spacing w:line="348" w:lineRule="auto" w:before="0" w:after="100"/>
        <w:ind w:left="0" w:right="0" w:firstLine="42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作者界定的问题：The paper frames global matching as potentially inadequate for few-shot classification.</w:t>
      </w:r>
    </w:p>
    <w:p>
      <w:pPr>
        <w:keepNext w:val="0"/>
        <w:pageBreakBefore w:val="0"/>
        <w:spacing w:line="348" w:lineRule="auto" w:before="0" w:after="100"/>
        <w:ind w:left="0" w:right="0" w:firstLine="42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论文声称的 Gap：The paper motivates local descriptor matching as an alternative to a single global representation.</w:t>
      </w:r>
    </w:p>
    <w:p>
      <w:pPr>
        <w:pStyle w:val="SFEanalysis"/>
        <w:keepNext w:val="0"/>
        <w:pageBreakBefore w:val="0"/>
        <w:spacing w:line="324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1F2937"/>
          <w:sz w:val="20"/>
        </w:rPr>
        <w:t>PaperScope 判断的实际瓶颈：The operational bottleneck is whether a sparse support set is better represented as a pool of local evidence rather than one global vector.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0F9FF"/>
            <w:tcBorders>
              <w:top w:val="nil"/>
              <w:left w:val="single" w:sz="18" w:color="0284C7"/>
              <w:bottom w:val="nil"/>
              <w:right w:val="nil"/>
            </w:tcBorders>
          </w:tcPr>
          <w:p>
            <w:pPr>
              <w:keepNext w:val="0"/>
              <w:pageBreakBefore w:val="0"/>
              <w:spacing w:line="312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19"/>
              </w:rPr>
              <w:t>原文依据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>Each query descriptor is compared with support descriptors and the similarities are aggregated.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br/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证据: E2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 xml:space="preserve"> · </w:t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位置: Method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5F3FF"/>
            <w:tcBorders>
              <w:top w:val="nil"/>
              <w:left w:val="single" w:sz="18" w:color="7C3AED"/>
              <w:bottom w:val="nil"/>
              <w:right w:val="nil"/>
            </w:tcBorders>
          </w:tcPr>
          <w:p>
            <w:pPr>
              <w:keepNext w:val="0"/>
              <w:pageBreakBefore w:val="0"/>
              <w:spacing w:line="32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20"/>
              </w:rPr>
              <w:t>Gap 判断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20"/>
              </w:rPr>
              <w:t>Gap 部分成立。The inspected material motivates the gap clearly, but the synthetic example does not include a full prior-work comparison.</w:t>
              <w:br/>
              <w:t>依据：E1、E2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0F172A"/>
          <w:sz w:val="30"/>
        </w:rPr>
        <w:t>03 核心方法与真实创新</w:t>
      </w:r>
    </w:p>
    <w:p>
      <w:pPr>
        <w:pStyle w:val="SFElead"/>
        <w:keepNext w:val="0"/>
        <w:pageBreakBefore w:val="0"/>
        <w:spacing w:line="348" w:lineRule="auto" w:before="0" w:after="160"/>
        <w:ind w:left="0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2"/>
        </w:rPr>
        <w:t>方法概述：The method performs descriptor-level query-to-support matching.</w:t>
      </w:r>
    </w:p>
    <w:p>
      <w:pPr>
        <w:pStyle w:val="SFEcaption"/>
        <w:keepNext w:val="0"/>
        <w:pageBreakBefore w:val="0"/>
        <w:spacing w:line="264" w:lineRule="auto" w:before="60" w:after="140"/>
        <w:ind w:left="0" w:right="0" w:firstLine="0"/>
        <w:jc w:val="center"/>
        <w:widowControl/>
      </w:pPr>
      <w:r>
        <w:rPr>
          <w:rFonts w:ascii="Times New Roman" w:hAnsi="Times New Roman" w:eastAsia="SimSun" w:cs="Times New Roman"/>
          <w:b w:val="0"/>
          <w:i w:val="0"/>
          <w:color w:val="374151"/>
          <w:sz w:val="19"/>
        </w:rPr>
        <w:t>方法差异链（Method Diff）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0"/>
        <w:gridCol w:w="6898"/>
      </w:tblGrid>
      <w:tr>
        <w:trPr>
          <w:cantSplit/>
          <w:tblHeader w:val="true"/>
        </w:trPr>
        <w:tc>
          <w:tcPr>
            <w:tcW w:type="dxa" w:w="206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环节</w:t>
            </w:r>
          </w:p>
        </w:tc>
        <w:tc>
          <w:tcPr>
            <w:tcW w:type="dxa" w:w="689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06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Previous</w:t>
            </w:r>
          </w:p>
        </w:tc>
        <w:tc>
          <w:tcPr>
            <w:tcW w:type="dxa" w:w="689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The paper contrasts the method with global matching.</w:t>
              <w:br/>
              <w:t>依据：E1</w:t>
            </w:r>
          </w:p>
        </w:tc>
      </w:tr>
      <w:tr>
        <w:trPr>
          <w:cantSplit/>
        </w:trPr>
        <w:tc>
          <w:tcPr>
            <w:tcW w:type="dxa" w:w="206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Proposed</w:t>
            </w:r>
          </w:p>
        </w:tc>
        <w:tc>
          <w:tcPr>
            <w:tcW w:type="dxa" w:w="689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Replace global matching with local descriptor aggregation.</w:t>
              <w:br/>
              <w:t>依据：E1、E2</w:t>
            </w:r>
          </w:p>
        </w:tc>
      </w:tr>
      <w:tr>
        <w:trPr>
          <w:cantSplit/>
        </w:trPr>
        <w:tc>
          <w:tcPr>
            <w:tcW w:type="dxa" w:w="206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Mechanism</w:t>
            </w:r>
          </w:p>
        </w:tc>
        <w:tc>
          <w:tcPr>
            <w:tcW w:type="dxa" w:w="689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Query descriptors are compared with support descriptors and similarities are aggregated.</w:t>
              <w:br/>
              <w:t>依据：E2</w:t>
            </w:r>
          </w:p>
        </w:tc>
      </w:tr>
      <w:tr>
        <w:trPr>
          <w:cantSplit/>
        </w:trPr>
        <w:tc>
          <w:tcPr>
            <w:tcW w:type="dxa" w:w="206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Expected Effect</w:t>
            </w:r>
          </w:p>
        </w:tc>
        <w:tc>
          <w:tcPr>
            <w:tcW w:type="dxa" w:w="689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The design may preserve local discriminative information.</w:t>
              <w:br/>
              <w:t>依据：E2</w:t>
            </w:r>
          </w:p>
        </w:tc>
      </w:tr>
    </w:tbl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核心模块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75"/>
        <w:gridCol w:w="1254"/>
        <w:gridCol w:w="1075"/>
        <w:gridCol w:w="1971"/>
        <w:gridCol w:w="1075"/>
        <w:gridCol w:w="1792"/>
        <w:gridCol w:w="717"/>
      </w:tblGrid>
      <w:tr>
        <w:trPr>
          <w:cantSplit/>
          <w:tblHeader w:val="true"/>
        </w:trPr>
        <w:tc>
          <w:tcPr>
            <w:tcW w:type="dxa" w:w="107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模块</w:t>
            </w:r>
          </w:p>
        </w:tc>
        <w:tc>
          <w:tcPr>
            <w:tcW w:type="dxa" w:w="1254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作用</w:t>
            </w:r>
          </w:p>
        </w:tc>
        <w:tc>
          <w:tcPr>
            <w:tcW w:type="dxa" w:w="107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输入</w:t>
            </w:r>
          </w:p>
        </w:tc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操作</w:t>
            </w:r>
          </w:p>
        </w:tc>
        <w:tc>
          <w:tcPr>
            <w:tcW w:type="dxa" w:w="107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输出</w:t>
            </w:r>
          </w:p>
        </w:tc>
        <w:tc>
          <w:tcPr>
            <w:tcW w:type="dxa" w:w="179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为什么需要</w:t>
            </w:r>
          </w:p>
        </w:tc>
        <w:tc>
          <w:tcPr>
            <w:tcW w:type="dxa" w:w="71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依据</w:t>
            </w:r>
          </w:p>
        </w:tc>
      </w:tr>
      <w:tr>
        <w:trPr>
          <w:cantSplit/>
        </w:trPr>
        <w:tc>
          <w:tcPr>
            <w:tcW w:type="dxa" w:w="107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Local Matching</w:t>
            </w:r>
          </w:p>
        </w:tc>
        <w:tc>
          <w:tcPr>
            <w:tcW w:type="dxa" w:w="1254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Compute query-support local similarity</w:t>
            </w:r>
          </w:p>
        </w:tc>
        <w:tc>
          <w:tcPr>
            <w:tcW w:type="dxa" w:w="107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Query and support descriptors</w:t>
            </w:r>
          </w:p>
        </w:tc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Compare descriptors and aggregate similarity</w:t>
            </w:r>
          </w:p>
        </w:tc>
        <w:tc>
          <w:tcPr>
            <w:tcW w:type="dxa" w:w="107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Class similarity</w:t>
            </w:r>
          </w:p>
        </w:tc>
        <w:tc>
          <w:tcPr>
            <w:tcW w:type="dxa" w:w="179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Avoid relying only on a single global vector</w:t>
            </w:r>
          </w:p>
        </w:tc>
        <w:tc>
          <w:tcPr>
            <w:tcW w:type="dxa" w:w="71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E2</w:t>
            </w:r>
          </w:p>
        </w:tc>
      </w:tr>
    </w:tbl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关键假设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FF7ED"/>
            <w:tcBorders>
              <w:top w:val="nil"/>
              <w:left w:val="single" w:sz="18" w:color="EA580C"/>
              <w:bottom w:val="nil"/>
              <w:right w:val="nil"/>
            </w:tcBorders>
          </w:tcPr>
          <w:p>
            <w:pPr>
              <w:keepNext w:val="0"/>
              <w:pageBreakBefore w:val="0"/>
              <w:spacing w:line="32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20"/>
              </w:rPr>
              <w:t>假设 A1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20"/>
              </w:rPr>
              <w:t>Local descriptor matches are sufficiently discriminative.</w:t>
              <w:br/>
              <w:t>来源性质：隐含假设</w:t>
              <w:br/>
              <w:t>风险等级：高</w:t>
              <w:br/>
              <w:t>为什么需要：The class similarity depends on local matches carrying class-discriminative signal.</w:t>
              <w:br/>
              <w:t>若不成立：Noisy descriptors could dominate class similarity.</w:t>
              <w:br/>
              <w:t>如何压力测试：Inject descriptor noise or mask high-similarity local regions and measure class-score sensitivity.</w:t>
              <w:br/>
              <w:t>依据：E2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创新判断</w:t>
      </w:r>
    </w:p>
    <w:p>
      <w:pPr>
        <w:pStyle w:val="SFEanalysis"/>
        <w:keepNext w:val="0"/>
        <w:pageBreakBefore w:val="0"/>
        <w:spacing w:line="324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1F2937"/>
          <w:sz w:val="20"/>
        </w:rPr>
        <w:t>相对本文 prior work 的变化：Relative to the paper-framed baseline, the change is global-to-local matching.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9FAFB"/>
            <w:tcBorders>
              <w:top w:val="nil"/>
              <w:left w:val="single" w:sz="18" w:color="9CA3AF"/>
              <w:bottom w:val="nil"/>
              <w:right w:val="nil"/>
            </w:tcBorders>
          </w:tcPr>
          <w:p>
            <w:pPr>
              <w:keepNext w:val="0"/>
              <w:pageBreakBefore w:val="0"/>
              <w:spacing w:line="312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4B5563"/>
                <w:sz w:val="19"/>
              </w:rPr>
              <w:t>领域首创性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4B5563"/>
                <w:sz w:val="19"/>
              </w:rPr>
              <w:t>未进行系统外部文献核验，暂不判断是否属于领域首次提出。</w:t>
            </w:r>
          </w:p>
        </w:tc>
      </w:tr>
    </w:tbl>
    <w:p>
      <w:pPr>
        <w:spacing w:after="0"/>
      </w:pPr>
    </w:p>
    <w:p>
      <w:pPr>
        <w:pStyle w:val="SFEnote"/>
        <w:keepNext w:val="0"/>
        <w:pageBreakBefore w:val="0"/>
        <w:spacing w:line="312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4B5563"/>
          <w:sz w:val="19"/>
        </w:rPr>
        <w:t>核验状态：仅完成论文内部比较</w:t>
      </w: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主要贡献</w:t>
      </w:r>
    </w:p>
    <w:p>
      <w:pPr>
        <w:keepNext w:val="0"/>
        <w:pageBreakBefore w:val="0"/>
        <w:spacing w:line="348" w:lineRule="auto" w:before="0" w:after="100"/>
        <w:ind w:left="0" w:right="0" w:firstLine="42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贡献 1：The paper integrates local matching into a few-shot classifier.</w:t>
      </w:r>
    </w:p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0F172A"/>
          <w:sz w:val="30"/>
        </w:rPr>
        <w:t>04 实验与证据</w:t>
      </w: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实验解释链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5F3FF"/>
            <w:tcBorders>
              <w:top w:val="nil"/>
              <w:left w:val="single" w:sz="18" w:color="7C3AED"/>
              <w:bottom w:val="nil"/>
              <w:right w:val="nil"/>
            </w:tcBorders>
          </w:tcPr>
          <w:p>
            <w:pPr>
              <w:keepNext w:val="0"/>
              <w:pageBreakBefore w:val="0"/>
              <w:spacing w:line="32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20"/>
              </w:rPr>
              <w:t>实验 1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20"/>
              </w:rPr>
              <w:t>实验目的：Test whether local matching improves few-shot classification relative to global matching.</w:t>
              <w:br/>
              <w:t>设计：Compare the proposed local-matching classifier with a global-matching baseline on the paper's reported benchmark.</w:t>
              <w:br/>
              <w:t>比较条件：Synthetic example; exact table/budget details are not included in the example source bundle.</w:t>
              <w:br/>
              <w:t>结果：The paper reports improved accuracy on the tested setup.</w:t>
              <w:br/>
              <w:t>真正支持：The paper provides within-study evidence that local matching can improve the tested setup.</w:t>
              <w:br/>
              <w:t>不能进一步证明：The example does not establish universal superiority across datasets or domains.</w:t>
              <w:br/>
              <w:t>协议风险：Exact table and training-budget details are not included in this synthetic fixture.</w:t>
              <w:br/>
              <w:t>依据：E1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主要结果</w:t>
      </w:r>
    </w:p>
    <w:p>
      <w:pPr>
        <w:keepNext w:val="0"/>
        <w:pageBreakBefore w:val="0"/>
        <w:spacing w:line="348" w:lineRule="auto" w:before="0" w:after="100"/>
        <w:ind w:left="0" w:right="0" w:firstLine="42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结果 1：The paper reports improved accuracy on its tested setup.</w:t>
      </w: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Claim–Evidence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5F3FF"/>
            <w:tcBorders>
              <w:top w:val="nil"/>
              <w:left w:val="single" w:sz="18" w:color="7C3AED"/>
              <w:bottom w:val="nil"/>
              <w:right w:val="nil"/>
            </w:tcBorders>
          </w:tcPr>
          <w:p>
            <w:pPr>
              <w:keepNext w:val="0"/>
              <w:pageBreakBefore w:val="0"/>
              <w:spacing w:line="324" w:lineRule="auto" w:before="0" w:after="0"/>
              <w:ind w:left="0" w:right="0" w:firstLine="0"/>
              <w:jc w:val="left"/>
              <w:widowControl/>
            </w:pPr>
            <w:bookmarkStart w:id="1275532159" w:name="claim_1"/>
            <w:r/>
            <w:bookmarkEnd w:id="1275532159"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20"/>
              </w:rPr>
              <w:t>Claim 1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20"/>
              </w:rPr>
              <w:t>核心判断：The method uses descriptor-level matching instead of only global matching.</w:t>
              <w:br/>
              <w:t>论文内部支持：支持充分</w:t>
              <w:br/>
              <w:t>为什么：The abstract and method section directly describe local descriptor matching.</w:t>
              <w:br/>
              <w:t>证据关系：E1（直接支持）：Directly describes the claimed method change.；E2（直接支持）：Directly describes the claimed method change.</w:t>
              <w:br/>
              <w:t>适用边界：Supports method design, not universal performance superiority.</w:t>
              <w:br/>
              <w:t>不能进一步证明：Local matching is universally superior across tasks and domains.</w:t>
              <w:br/>
              <w:t>如何进一步加强：Run matched-backbone comparisons across multiple datasets and domains.</w:t>
              <w:br/>
              <w:t>外部核验：未进行外部复现/核验</w:t>
              <w:br/>
              <w:t>依据：E1、E2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5F3FF"/>
            <w:tcBorders>
              <w:top w:val="nil"/>
              <w:left w:val="single" w:sz="18" w:color="7C3AED"/>
              <w:bottom w:val="nil"/>
              <w:right w:val="nil"/>
            </w:tcBorders>
          </w:tcPr>
          <w:p>
            <w:pPr>
              <w:keepNext w:val="0"/>
              <w:pageBreakBefore w:val="0"/>
              <w:spacing w:line="32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20"/>
              </w:rPr>
              <w:t>整体论文内部证据支持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20"/>
              </w:rPr>
              <w:t>有一定支持</w:t>
            </w:r>
          </w:p>
        </w:tc>
      </w:tr>
    </w:tbl>
    <w:p>
      <w:pPr>
        <w:spacing w:after="0"/>
      </w:pPr>
    </w:p>
    <w:p>
      <w:pPr>
        <w:pStyle w:val="Heading3"/>
        <w:keepNext/>
        <w:pageBreakBefore w:val="0"/>
        <w:spacing w:line="276" w:lineRule="auto" w:before="160" w:after="8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334155"/>
          <w:sz w:val="23"/>
        </w:rPr>
        <w:t>仍缺少的验证</w:t>
      </w:r>
    </w:p>
    <w:p>
      <w:pPr>
        <w:pStyle w:val="ListBullet"/>
        <w:keepNext w:val="0"/>
        <w:pageBreakBefore w:val="0"/>
        <w:spacing w:line="312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4B5563"/>
          <w:sz w:val="19"/>
        </w:rPr>
        <w:t>No external replication was inspected.</w:t>
      </w:r>
    </w:p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0F172A"/>
          <w:sz w:val="30"/>
        </w:rPr>
        <w:t>05 批判性评价</w:t>
      </w: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当前材料仍无法确认</w:t>
      </w:r>
    </w:p>
    <w:p>
      <w:pPr>
        <w:pStyle w:val="ListBullet"/>
        <w:keepNext w:val="0"/>
        <w:pageBreakBefore w:val="0"/>
        <w:spacing w:line="312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4B5563"/>
          <w:sz w:val="19"/>
        </w:rPr>
        <w:t>Current materials do not establish cross-domain robustness.</w:t>
      </w: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PaperScope 分析出的局限</w:t>
      </w:r>
    </w:p>
    <w:p>
      <w:pPr>
        <w:keepNext w:val="0"/>
        <w:pageBreakBefore w:val="0"/>
        <w:spacing w:line="348" w:lineRule="auto" w:before="0" w:after="100"/>
        <w:ind w:left="0" w:right="0" w:firstLine="42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Robustness to noisy local descriptors is not established.</w:t>
      </w: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脆弱假设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FF7ED"/>
            <w:tcBorders>
              <w:top w:val="nil"/>
              <w:left w:val="single" w:sz="18" w:color="EA580C"/>
              <w:bottom w:val="nil"/>
              <w:right w:val="nil"/>
            </w:tcBorders>
          </w:tcPr>
          <w:p>
            <w:pPr>
              <w:keepNext w:val="0"/>
              <w:pageBreakBefore w:val="0"/>
              <w:spacing w:line="32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20"/>
              </w:rPr>
              <w:t>脆弱假设 A1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20"/>
              </w:rPr>
              <w:t>Local descriptor matches are sufficiently discriminative.</w:t>
              <w:br/>
              <w:t>若不成立：Noisy descriptors could dominate class similarity.</w:t>
              <w:br/>
              <w:t>建议压力测试：Inject descriptor noise or mask high-similarity local regions and measure class-score sensitivity.</w:t>
              <w:br/>
              <w:t>依据：E2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审稿人可能关注的问题（Reviewer Questions）</w:t>
      </w:r>
    </w:p>
    <w:p>
      <w:pPr>
        <w:pStyle w:val="ListNumber"/>
        <w:keepNext w:val="0"/>
        <w:pageBreakBefore w:val="0"/>
        <w:spacing w:line="348" w:lineRule="auto" w:before="0" w:after="100"/>
        <w:ind w:left="0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How sensitive is performance to descriptor noise?</w:t>
      </w:r>
    </w:p>
    <w:p>
      <w:pPr>
        <w:pStyle w:val="Heading3"/>
        <w:keepNext/>
        <w:pageBreakBefore w:val="0"/>
        <w:spacing w:line="276" w:lineRule="auto" w:before="160" w:after="8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334155"/>
          <w:sz w:val="23"/>
        </w:rPr>
        <w:t>复现风险</w:t>
      </w:r>
    </w:p>
    <w:p>
      <w:pPr>
        <w:pStyle w:val="ListBullet"/>
        <w:keepNext w:val="0"/>
        <w:pageBreakBefore w:val="0"/>
        <w:spacing w:line="348" w:lineRule="auto" w:before="0" w:after="100"/>
        <w:ind w:left="0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Exact visual artifacts were not inspected.</w:t>
      </w:r>
    </w:p>
    <w:p>
      <w:pPr>
        <w:pStyle w:val="Heading3"/>
        <w:keepNext/>
        <w:pageBreakBefore w:val="0"/>
        <w:spacing w:line="276" w:lineRule="auto" w:before="160" w:after="8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334155"/>
          <w:sz w:val="23"/>
        </w:rPr>
        <w:t>评估风险</w:t>
      </w:r>
    </w:p>
    <w:p>
      <w:pPr>
        <w:pStyle w:val="ListBullet"/>
        <w:keepNext w:val="0"/>
        <w:pageBreakBefore w:val="0"/>
        <w:spacing w:line="348" w:lineRule="auto" w:before="0" w:after="100"/>
        <w:ind w:left="0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Cross-domain generalization is not established.</w:t>
      </w:r>
    </w:p>
    <w:p>
      <w:pPr>
        <w:pStyle w:val="Heading3"/>
        <w:keepNext/>
        <w:pageBreakBefore w:val="0"/>
        <w:spacing w:line="276" w:lineRule="auto" w:before="160" w:after="8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334155"/>
          <w:sz w:val="23"/>
        </w:rPr>
        <w:t>适用边界</w:t>
      </w:r>
    </w:p>
    <w:p>
      <w:pPr>
        <w:pStyle w:val="SFEanalysis"/>
        <w:keepNext w:val="0"/>
        <w:pageBreakBefore w:val="0"/>
        <w:spacing w:line="324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1F2937"/>
          <w:sz w:val="20"/>
        </w:rPr>
        <w:t>Current evidence supports the reported few-shot setup only.</w:t>
      </w:r>
    </w:p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0F172A"/>
          <w:sz w:val="30"/>
        </w:rPr>
        <w:t>06 开放问题与精读建议</w:t>
      </w: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开放问题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5F3FF"/>
            <w:tcBorders>
              <w:top w:val="nil"/>
              <w:left w:val="single" w:sz="18" w:color="7C3AED"/>
              <w:bottom w:val="nil"/>
              <w:right w:val="nil"/>
            </w:tcBorders>
          </w:tcPr>
          <w:p>
            <w:pPr>
              <w:keepNext w:val="0"/>
              <w:pageBreakBefore w:val="0"/>
              <w:spacing w:line="32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20"/>
              </w:rPr>
              <w:t>Open Question 1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20"/>
              </w:rPr>
              <w:t>问题：How sensitive is local matching to uninformative descriptors?</w:t>
              <w:br/>
              <w:t>来源：PaperScope 分析得到</w:t>
              <w:br/>
              <w:t>为什么重要：The core similarity aggregates many local matches.</w:t>
              <w:br/>
              <w:t>建议如何验证：Stress-test descriptor masking, weighting, and noise injection while holding the backbone fixed.</w:t>
              <w:br/>
              <w:t>依据：E2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精读路线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65"/>
        <w:gridCol w:w="2239"/>
        <w:gridCol w:w="4479"/>
        <w:gridCol w:w="1075"/>
      </w:tblGrid>
      <w:tr>
        <w:trPr>
          <w:cantSplit/>
          <w:tblHeader w:val="true"/>
        </w:trPr>
        <w:tc>
          <w:tcPr>
            <w:tcW w:type="dxa" w:w="116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优先级</w:t>
            </w:r>
          </w:p>
        </w:tc>
        <w:tc>
          <w:tcPr>
            <w:tcW w:type="dxa" w:w="223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原文位置</w:t>
            </w:r>
          </w:p>
        </w:tc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为什么值得看</w:t>
            </w:r>
          </w:p>
        </w:tc>
        <w:tc>
          <w:tcPr>
            <w:tcW w:type="dxa" w:w="107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依据</w:t>
            </w:r>
          </w:p>
        </w:tc>
      </w:tr>
      <w:tr>
        <w:trPr>
          <w:cantSplit/>
        </w:trPr>
        <w:tc>
          <w:tcPr>
            <w:tcW w:type="dxa" w:w="116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必读</w:t>
            </w:r>
          </w:p>
        </w:tc>
        <w:tc>
          <w:tcPr>
            <w:tcW w:type="dxa" w:w="223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Method</w:t>
            </w:r>
          </w:p>
        </w:tc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Defines the local matching mechanism.</w:t>
            </w:r>
          </w:p>
        </w:tc>
        <w:tc>
          <w:tcPr>
            <w:tcW w:type="dxa" w:w="107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E2</w:t>
            </w:r>
          </w:p>
        </w:tc>
      </w:tr>
    </w:tbl>
    <w:p>
      <w:pPr>
        <w:pStyle w:val="Heading3"/>
        <w:keepNext/>
        <w:pageBreakBefore w:val="0"/>
        <w:spacing w:line="276" w:lineRule="auto" w:before="160" w:after="8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334155"/>
          <w:sz w:val="23"/>
        </w:rPr>
        <w:t>20 分钟阅读路线</w:t>
      </w:r>
    </w:p>
    <w:p>
      <w:pPr>
        <w:pStyle w:val="ListNumber"/>
        <w:keepNext w:val="0"/>
        <w:pageBreakBefore w:val="0"/>
        <w:spacing w:line="324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1F2937"/>
          <w:sz w:val="20"/>
        </w:rPr>
        <w:t>Abstract｜为什么看：Establish the claimed problem and high-level method change.｜看完应得到：Understand what the paper says is different.</w:t>
      </w:r>
    </w:p>
    <w:p>
      <w:pPr>
        <w:pStyle w:val="ListNumber"/>
        <w:keepNext w:val="0"/>
        <w:pageBreakBefore w:val="0"/>
        <w:spacing w:line="324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1F2937"/>
          <w:sz w:val="20"/>
        </w:rPr>
        <w:t>Method｜为什么看：Inspect the descriptor-level matching mechanism.｜看完应得到：Understand how query and support descriptors are compared.</w:t>
      </w:r>
    </w:p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0F172A"/>
          <w:sz w:val="30"/>
        </w:rPr>
        <w:t>材料边界与说明</w:t>
      </w:r>
    </w:p>
    <w:p>
      <w:pPr>
        <w:pStyle w:val="ListBullet"/>
        <w:keepNext w:val="0"/>
        <w:pageBreakBefore w:val="0"/>
        <w:spacing w:line="312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4B5563"/>
          <w:sz w:val="19"/>
        </w:rPr>
        <w:t>This example is synthetic and demonstrates schema structure only.</w:t>
      </w:r>
    </w:p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0F172A"/>
          <w:sz w:val="30"/>
        </w:rPr>
        <w:t>附录：证据索引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0F9FF"/>
            <w:tcBorders>
              <w:top w:val="nil"/>
              <w:left w:val="single" w:sz="18" w:color="0284C7"/>
              <w:bottom w:val="nil"/>
              <w:right w:val="nil"/>
            </w:tcBorders>
          </w:tcPr>
          <w:p>
            <w:pPr>
              <w:keepNext w:val="0"/>
              <w:pageBreakBefore w:val="0"/>
              <w:spacing w:line="312" w:lineRule="auto" w:before="0" w:after="0"/>
              <w:ind w:left="0" w:right="0" w:firstLine="0"/>
              <w:jc w:val="left"/>
              <w:widowControl/>
            </w:pPr>
            <w:bookmarkStart w:id="1714696123" w:name="evidence_ev_001"/>
            <w:r/>
            <w:bookmarkEnd w:id="1714696123"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19"/>
              </w:rPr>
              <w:t>E1 · 原文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>We propose a local matching method for few-shot classification.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br/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位置: Abstract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 xml:space="preserve"> · </w:t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材料类型: 摘要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 xml:space="preserve"> · </w:t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证据性质: 问题界定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 xml:space="preserve"> · </w:t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支持: Claim 1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0F9FF"/>
            <w:tcBorders>
              <w:top w:val="nil"/>
              <w:left w:val="single" w:sz="18" w:color="0284C7"/>
              <w:bottom w:val="nil"/>
              <w:right w:val="nil"/>
            </w:tcBorders>
          </w:tcPr>
          <w:p>
            <w:pPr>
              <w:keepNext w:val="0"/>
              <w:pageBreakBefore w:val="0"/>
              <w:spacing w:line="312" w:lineRule="auto" w:before="0" w:after="0"/>
              <w:ind w:left="0" w:right="0" w:firstLine="0"/>
              <w:jc w:val="left"/>
              <w:widowControl/>
            </w:pPr>
            <w:bookmarkStart w:id="930140427" w:name="evidence_ev_002"/>
            <w:r/>
            <w:bookmarkEnd w:id="930140427"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19"/>
              </w:rPr>
              <w:t>E2 · 原文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>Each query descriptor is compared with support descriptors and the similarities are aggregated.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br/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位置: Method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 xml:space="preserve"> · </w:t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材料类型: 正文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 xml:space="preserve"> · </w:t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证据性质: 方法定义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 xml:space="preserve"> · </w:t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支持: Claim 1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pageBreakBefore w:val="0"/>
      <w:spacing w:line="312" w:lineRule="auto" w:before="0" w:after="0"/>
      <w:ind w:left="0" w:right="0" w:firstLine="0"/>
      <w:jc w:val="left"/>
      <w:widowControl/>
    </w:pPr>
    <w:r>
      <w:rPr>
        <w:rFonts w:ascii="Times New Roman" w:hAnsi="Times New Roman" w:eastAsia="SimSun" w:cs="Times New Roman"/>
        <w:b w:val="0"/>
        <w:i w:val="0"/>
        <w:color w:val="4B5563"/>
        <w:sz w:val="19"/>
      </w:rPr>
      <w:t>Scholar AI</w:t>
    </w:r>
    <w:r>
      <w:rPr>
        <w:rFonts w:ascii="Times New Roman" w:hAnsi="Times New Roman" w:eastAsia="SimSun" w:cs="Times New Roman"/>
        <w:b w:val="0"/>
        <w:i w:val="0"/>
        <w:color w:val="4B5563"/>
        <w:sz w:val="19"/>
      </w:rPr>
      <w:t xml:space="preserve"> · </w:t>
    </w:r>
    <w:r>
      <w:rPr>
        <w:rFonts w:ascii="Times New Roman" w:hAnsi="Times New Roman" w:eastAsia="SimSun" w:cs="Times New Roman"/>
        <w:b w:val="0"/>
        <w:i w:val="0"/>
        <w:color w:val="4B5563"/>
        <w:sz w:val="19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pageBreakBefore w:val="0"/>
      <w:spacing w:line="312" w:lineRule="auto" w:before="0" w:after="0"/>
      <w:ind w:left="0" w:right="0" w:firstLine="0"/>
      <w:jc w:val="left"/>
      <w:widowControl/>
    </w:pPr>
    <w:r>
      <w:rPr>
        <w:rFonts w:ascii="Times New Roman" w:hAnsi="Times New Roman" w:eastAsia="SimSun" w:cs="Times New Roman"/>
        <w:b w:val="0"/>
        <w:i w:val="0"/>
        <w:color w:val="4B5563"/>
        <w:sz w:val="19"/>
      </w:rPr>
      <w:t>Scholar AI · AI 论文精读报告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pageBreakBefore w:val="0"/>
      <w:spacing w:line="348" w:lineRule="auto" w:before="0" w:after="100"/>
      <w:ind w:left="0" w:right="0" w:firstLine="420"/>
      <w:jc w:val="both"/>
      <w:widowControl/>
    </w:pPr>
    <w:rPr>
      <w:rFonts w:ascii="Times New Roman" w:hAnsi="Times New Roman" w:eastAsia="SimSun"/>
      <w:b w:val="0"/>
      <w:i w:val="0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20" w:after="160" w:line="264" w:lineRule="auto"/>
      <w:ind w:left="0" w:right="0" w:firstLine="0"/>
      <w:jc w:val="left"/>
      <w:outlineLvl w:val="0"/>
      <w:widowControl/>
    </w:pPr>
    <w:rPr>
      <w:rFonts w:asciiTheme="majorHAnsi" w:eastAsiaTheme="majorEastAsia" w:hAnsiTheme="majorHAnsi" w:cstheme="majorBidi" w:ascii="Arial" w:hAnsi="Arial" w:eastAsia="Microsoft YaHei"/>
      <w:b/>
      <w:bCs/>
      <w:i w:val="0"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40" w:after="120" w:line="276" w:lineRule="auto"/>
      <w:ind w:left="0" w:right="0" w:firstLine="0"/>
      <w:jc w:val="left"/>
      <w:outlineLvl w:val="1"/>
      <w:widowControl/>
    </w:pPr>
    <w:rPr>
      <w:rFonts w:asciiTheme="majorHAnsi" w:eastAsiaTheme="majorEastAsia" w:hAnsiTheme="majorHAnsi" w:cstheme="majorBidi" w:ascii="Arial" w:hAnsi="Arial" w:eastAsia="Microsoft YaHei"/>
      <w:b/>
      <w:bCs/>
      <w:i w:val="0"/>
      <w:color w:val="1E293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60" w:after="80" w:line="276" w:lineRule="auto"/>
      <w:ind w:left="0" w:right="0" w:firstLine="0"/>
      <w:jc w:val="left"/>
      <w:outlineLvl w:val="2"/>
      <w:widowControl/>
    </w:pPr>
    <w:rPr>
      <w:rFonts w:asciiTheme="majorHAnsi" w:eastAsiaTheme="majorEastAsia" w:hAnsiTheme="majorHAnsi" w:cstheme="majorBidi" w:ascii="Arial" w:hAnsi="Arial" w:eastAsia="Microsoft YaHei"/>
      <w:b/>
      <w:bCs/>
      <w:i w:val="0"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ageBreakBefore w:val="0"/>
      <w:pBdr>
        <w:bottom w:val="single" w:sz="8" w:space="4" w:color="4F81BD" w:themeColor="accent1"/>
      </w:pBdr>
      <w:spacing w:after="140" w:line="264" w:lineRule="auto" w:before="0"/>
      <w:ind w:left="0" w:right="0" w:firstLine="0"/>
      <w:contextualSpacing/>
      <w:jc w:val="center"/>
      <w:widowControl/>
    </w:pPr>
    <w:rPr>
      <w:rFonts w:asciiTheme="majorHAnsi" w:eastAsiaTheme="majorEastAsia" w:hAnsiTheme="majorHAnsi" w:cstheme="majorBidi" w:ascii="Arial" w:hAnsi="Arial" w:eastAsia="Microsoft YaHei"/>
      <w:b/>
      <w:i w:val="0"/>
      <w:color w:val="0F172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pageBreakBefore w:val="0"/>
      <w:numPr>
        <w:numId w:val="1"/>
      </w:numPr>
      <w:spacing w:line="348" w:lineRule="auto" w:before="0" w:after="100"/>
      <w:ind w:left="0" w:right="0" w:firstLine="420"/>
      <w:contextualSpacing/>
      <w:jc w:val="both"/>
      <w:widowControl/>
    </w:pPr>
    <w:rPr>
      <w:rFonts w:ascii="Times New Roman" w:hAnsi="Times New Roman" w:eastAsia="SimSun"/>
      <w:b w:val="0"/>
      <w:i w:val="0"/>
      <w:color w:val="11182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keepNext w:val="0"/>
      <w:pageBreakBefore w:val="0"/>
      <w:numPr>
        <w:numId w:val="2"/>
      </w:numPr>
      <w:spacing w:line="348" w:lineRule="auto" w:before="0" w:after="100"/>
      <w:ind w:left="0" w:right="0" w:firstLine="420"/>
      <w:contextualSpacing/>
      <w:jc w:val="both"/>
      <w:widowControl/>
    </w:pPr>
    <w:rPr>
      <w:rFonts w:ascii="Times New Roman" w:hAnsi="Times New Roman" w:eastAsia="SimSun"/>
      <w:b w:val="0"/>
      <w:i w:val="0"/>
      <w:color w:val="111827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pageBreakBefore w:val="0"/>
      <w:numPr>
        <w:numId w:val="5"/>
      </w:numPr>
      <w:spacing w:line="348" w:lineRule="auto" w:before="0" w:after="100"/>
      <w:ind w:left="0" w:right="0" w:firstLine="420"/>
      <w:contextualSpacing/>
      <w:jc w:val="both"/>
      <w:widowControl/>
    </w:pPr>
    <w:rPr>
      <w:rFonts w:ascii="Times New Roman" w:hAnsi="Times New Roman" w:eastAsia="SimSun"/>
      <w:b w:val="0"/>
      <w:i w:val="0"/>
      <w:color w:val="11182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keepNext w:val="0"/>
      <w:pageBreakBefore w:val="0"/>
      <w:numPr>
        <w:numId w:val="6"/>
      </w:numPr>
      <w:spacing w:line="348" w:lineRule="auto" w:before="0" w:after="100"/>
      <w:ind w:left="0" w:right="0" w:firstLine="420"/>
      <w:contextualSpacing/>
      <w:jc w:val="both"/>
      <w:widowControl/>
    </w:pPr>
    <w:rPr>
      <w:rFonts w:ascii="Times New Roman" w:hAnsi="Times New Roman" w:eastAsia="SimSun"/>
      <w:b w:val="0"/>
      <w:i w:val="0"/>
      <w:color w:val="111827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FEsubtitle">
    <w:name w:val="SFE subtitle"/>
    <w:pPr>
      <w:keepNext/>
      <w:pageBreakBefore w:val="0"/>
      <w:spacing w:line="276" w:lineRule="auto" w:before="0" w:after="200"/>
      <w:ind w:left="0" w:right="0" w:firstLine="0"/>
      <w:jc w:val="center"/>
      <w:widowControl/>
    </w:pPr>
    <w:rPr>
      <w:rFonts w:ascii="Times New Roman" w:hAnsi="Times New Roman" w:eastAsia="Microsoft YaHei"/>
      <w:b w:val="0"/>
      <w:i w:val="0"/>
      <w:color w:val="334155"/>
      <w:sz w:val="25"/>
    </w:rPr>
  </w:style>
  <w:style w:type="paragraph" w:customStyle="1" w:styleId="SFElead">
    <w:name w:val="SFE lead"/>
    <w:pPr>
      <w:keepNext w:val="0"/>
      <w:pageBreakBefore w:val="0"/>
      <w:spacing w:line="348" w:lineRule="auto" w:before="0" w:after="160"/>
      <w:ind w:left="0" w:right="0" w:firstLine="0"/>
      <w:jc w:val="both"/>
      <w:widowControl/>
    </w:pPr>
    <w:rPr>
      <w:rFonts w:ascii="Times New Roman" w:hAnsi="Times New Roman" w:eastAsia="SimSun"/>
      <w:b w:val="0"/>
      <w:i w:val="0"/>
      <w:color w:val="111827"/>
      <w:sz w:val="22"/>
    </w:rPr>
  </w:style>
  <w:style w:type="paragraph" w:customStyle="1" w:styleId="SFEquote">
    <w:name w:val="SFE quote"/>
    <w:pPr>
      <w:keepNext w:val="0"/>
      <w:pageBreakBefore w:val="0"/>
      <w:spacing w:line="324" w:lineRule="auto" w:before="80" w:after="120"/>
      <w:ind w:left="454" w:right="283" w:firstLine="0"/>
      <w:jc w:val="left"/>
      <w:widowControl/>
    </w:pPr>
    <w:rPr>
      <w:rFonts w:ascii="Times New Roman" w:hAnsi="Times New Roman" w:eastAsia="SimSun"/>
      <w:b w:val="0"/>
      <w:i w:val="0"/>
      <w:color w:val="374151"/>
      <w:sz w:val="20"/>
    </w:rPr>
  </w:style>
  <w:style w:type="paragraph" w:customStyle="1" w:styleId="SFEevidence">
    <w:name w:val="SFE evidence"/>
    <w:pPr>
      <w:keepNext w:val="0"/>
      <w:pageBreakBefore w:val="0"/>
      <w:spacing w:line="312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1F2937"/>
      <w:sz w:val="19"/>
    </w:rPr>
  </w:style>
  <w:style w:type="paragraph" w:customStyle="1" w:styleId="SFEanalysis">
    <w:name w:val="SFE analysis"/>
    <w:pPr>
      <w:keepNext w:val="0"/>
      <w:pageBreakBefore w:val="0"/>
      <w:spacing w:line="324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1F2937"/>
      <w:sz w:val="20"/>
    </w:rPr>
  </w:style>
  <w:style w:type="paragraph" w:customStyle="1" w:styleId="SFEwarning">
    <w:name w:val="SFE warning"/>
    <w:pPr>
      <w:keepNext w:val="0"/>
      <w:pageBreakBefore w:val="0"/>
      <w:spacing w:line="324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1F2937"/>
      <w:sz w:val="20"/>
    </w:rPr>
  </w:style>
  <w:style w:type="paragraph" w:customStyle="1" w:styleId="SFElimitation">
    <w:name w:val="SFE limitation"/>
    <w:pPr>
      <w:keepNext w:val="0"/>
      <w:pageBreakBefore w:val="0"/>
      <w:spacing w:line="324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1F2937"/>
      <w:sz w:val="20"/>
    </w:rPr>
  </w:style>
  <w:style w:type="paragraph" w:customStyle="1" w:styleId="SFEnote">
    <w:name w:val="SFE note"/>
    <w:pPr>
      <w:keepNext w:val="0"/>
      <w:pageBreakBefore w:val="0"/>
      <w:spacing w:line="312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4B5563"/>
      <w:sz w:val="19"/>
    </w:rPr>
  </w:style>
  <w:style w:type="paragraph" w:customStyle="1" w:styleId="SFEreviewer_comment">
    <w:name w:val="SFE reviewer_comment"/>
    <w:pPr>
      <w:keepNext w:val="0"/>
      <w:pageBreakBefore w:val="0"/>
      <w:spacing w:line="324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1F2937"/>
      <w:sz w:val="20"/>
    </w:rPr>
  </w:style>
  <w:style w:type="paragraph" w:customStyle="1" w:styleId="SFEauthor_response">
    <w:name w:val="SFE author_response"/>
    <w:pPr>
      <w:keepNext w:val="0"/>
      <w:pageBreakBefore w:val="0"/>
      <w:spacing w:line="324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14532D"/>
      <w:sz w:val="20"/>
    </w:rPr>
  </w:style>
  <w:style w:type="paragraph" w:customStyle="1" w:styleId="SFEcaption">
    <w:name w:val="SFE caption"/>
    <w:pPr>
      <w:keepNext w:val="0"/>
      <w:pageBreakBefore w:val="0"/>
      <w:spacing w:line="264" w:lineRule="auto" w:before="60" w:after="140"/>
      <w:ind w:left="0" w:right="0" w:firstLine="0"/>
      <w:jc w:val="center"/>
      <w:widowControl/>
    </w:pPr>
    <w:rPr>
      <w:rFonts w:ascii="Times New Roman" w:hAnsi="Times New Roman" w:eastAsia="SimSun"/>
      <w:b w:val="0"/>
      <w:i w:val="0"/>
      <w:color w:val="374151"/>
      <w:sz w:val="19"/>
    </w:rPr>
  </w:style>
  <w:style w:type="paragraph" w:customStyle="1" w:styleId="SFEtable">
    <w:name w:val="SFE table"/>
    <w:pPr>
      <w:keepNext w:val="0"/>
      <w:pageBreakBefore w:val="0"/>
      <w:spacing w:line="276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111827"/>
      <w:sz w:val="19"/>
    </w:rPr>
  </w:style>
  <w:style w:type="paragraph" w:customStyle="1" w:styleId="SFEtable_header">
    <w:name w:val="SFE table_header"/>
    <w:pPr>
      <w:keepNext/>
      <w:pageBreakBefore w:val="0"/>
      <w:spacing w:line="264" w:lineRule="auto" w:before="0" w:after="0"/>
      <w:ind w:left="0" w:right="0" w:firstLine="0"/>
      <w:jc w:val="center"/>
      <w:widowControl/>
    </w:pPr>
    <w:rPr>
      <w:rFonts w:ascii="Times New Roman" w:hAnsi="Times New Roman" w:eastAsia="Microsoft YaHei"/>
      <w:b/>
      <w:i w:val="0"/>
      <w:color w:val="111827"/>
      <w:sz w:val="19"/>
    </w:rPr>
  </w:style>
  <w:style w:type="paragraph" w:customStyle="1" w:styleId="SFEcode">
    <w:name w:val="SFE code"/>
    <w:pPr>
      <w:keepNext w:val="0"/>
      <w:pageBreakBefore w:val="0"/>
      <w:spacing w:line="276" w:lineRule="auto" w:before="60" w:after="100"/>
      <w:ind w:left="340" w:right="340" w:firstLine="0"/>
      <w:jc w:val="left"/>
      <w:widowControl/>
    </w:pPr>
    <w:rPr>
      <w:rFonts w:ascii="Consolas" w:hAnsi="Consolas" w:eastAsia="Microsoft YaHei"/>
      <w:b w:val="0"/>
      <w:i w:val="0"/>
      <w:color w:val="111827"/>
      <w:sz w:val="19"/>
    </w:rPr>
  </w:style>
  <w:style w:type="paragraph" w:customStyle="1" w:styleId="SFEequation">
    <w:name w:val="SFE equation"/>
    <w:pPr>
      <w:keepNext w:val="0"/>
      <w:pageBreakBefore w:val="0"/>
      <w:spacing w:line="288" w:lineRule="auto" w:before="100" w:after="100"/>
      <w:ind w:left="0" w:right="0" w:firstLine="0"/>
      <w:jc w:val="center"/>
      <w:widowControl/>
    </w:pPr>
    <w:rPr>
      <w:rFonts w:ascii="Cambria Math" w:hAnsi="Cambria Math" w:eastAsia="Cambria Math"/>
      <w:b w:val="0"/>
      <w:i/>
      <w:color w:val="111827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