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line="264" w:lineRule="auto" w:before="0" w:after="200"/>
        <w:ind w:left="0" w:right="0" w:firstLine="0"/>
        <w:jc w:val="center"/>
        <w:widowControl/>
      </w:pPr>
      <w:r>
        <w:rPr>
          <w:rFonts w:ascii="Arial" w:hAnsi="Arial" w:eastAsia="Microsoft YaHei" w:cs="Arial"/>
          <w:b/>
          <w:i w:val="0"/>
          <w:color w:val="0F172A"/>
          <w:sz w:val="40"/>
        </w:rPr>
        <w:t>AI 论文精读报告</w:t>
      </w:r>
    </w:p>
    <w:p>
      <w:pPr>
        <w:pStyle w:val="SFEsubtitle"/>
        <w:keepNext/>
        <w:pageBreakBefore w:val="0"/>
        <w:spacing w:line="276" w:lineRule="auto" w:before="0" w:after="320"/>
        <w:ind w:left="0" w:right="0" w:firstLine="0"/>
        <w:jc w:val="center"/>
        <w:widowControl/>
      </w:pPr>
      <w:r>
        <w:rPr>
          <w:rFonts w:ascii="Times New Roman" w:hAnsi="Times New Roman" w:eastAsia="Microsoft YaHei" w:cs="Times New Roman"/>
          <w:b w:val="0"/>
          <w:i w:val="0"/>
          <w:color w:val="334155"/>
          <w:sz w:val="27"/>
        </w:rPr>
        <w:t>Example Method Paper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作者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A. Author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年份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2026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分析版本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Analyzed uploaded PDF version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材料覆盖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充分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证据定位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可定位至章节/图表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外部核验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仅基于本文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目录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01 论文速览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03 核心方法与真实创新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04 实验与证据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05 批判性评价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06 开放问题与精读建议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材料边界与说明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附录：证据索引</w:t>
      </w:r>
    </w:p>
    <w:p>
      <w:r>
        <w:br w:type="page"/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01 论文速览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一句话看懂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The paper replaces global matching with descriptor-level matching, with bounded evidence for the tested setup.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论文内部证据支持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有一定支持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阅读优先级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建议重点阅读核心章节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阅读建议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method is concise; the Method section carries most of the value.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适合读者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Few-shot learning researchers；Metric-learning practitioners</w:t>
            </w:r>
          </w:p>
        </w:tc>
      </w:tr>
    </w:tbl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研究价值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维度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等级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理由</w:t>
            </w:r>
          </w:p>
        </w:tc>
      </w:tr>
      <w:tr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方法学价值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change is clear and transferable.</w:t>
            </w:r>
          </w:p>
        </w:tc>
      </w:tr>
      <w:tr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实证价值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reports benchmark evidence, but visual artifacts were not inspected.</w:t>
            </w:r>
          </w:p>
        </w:tc>
      </w:tr>
      <w:tr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应用价值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暂不明确</w:t>
            </w:r>
          </w:p>
        </w:tc>
        <w:tc>
          <w:tcPr>
            <w:tcW w:type="dxa" w:w="298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Deployment robustness is not established.</w:t>
            </w:r>
          </w:p>
        </w:tc>
      </w:tr>
    </w:tbl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研究问题：Can descriptor-level matching improve few-shot classification relative to global matching?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ev-001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03 核心方法与真实创新</w:t>
      </w:r>
    </w:p>
    <w:p>
      <w:pPr>
        <w:pStyle w:val="SFElead"/>
        <w:keepNext w:val="0"/>
        <w:pageBreakBefore w:val="0"/>
        <w:spacing w:line="348" w:lineRule="auto" w:before="0" w:after="16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2"/>
        </w:rPr>
        <w:t>方法概述：The method performs descriptor-level query-to-support matching.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ev-002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</w:p>
        </w:tc>
      </w:tr>
    </w:tbl>
    <w:p>
      <w:pPr>
        <w:spacing w:after="0"/>
      </w:pP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Method Diff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环节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Previous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contrasts the method with global matching.</w:t>
              <w:br/>
              <w:t>依据：ev-001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Proposed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Replace global matching with local descriptor aggregation.</w:t>
              <w:br/>
              <w:t>依据：ev-001、ev-002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Mechanism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descriptors are compared with support descriptors and similarities are aggregated.</w:t>
              <w:br/>
              <w:t>依据：ev-002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Expected Effect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may preserve local discriminative information.</w:t>
              <w:br/>
              <w:t>依据：ev-002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核心模块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1. Local Matching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作用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Compute query-support local similarity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输入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and support descriptors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操作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Compare descriptors and aggregate similarity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输出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Class similarity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为什么需要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Avoid relying only on a single global vector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依据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ev-002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关键假设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78350F"/>
                <w:sz w:val="20"/>
              </w:rPr>
              <w:t>假设 as-001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78350F"/>
                <w:sz w:val="20"/>
              </w:rPr>
              <w:t>Local descriptor matches are sufficiently discriminative.</w:t>
              <w:br/>
              <w:t>来源性质：隐含假设</w:t>
              <w:br/>
              <w:t>风险等级：高</w:t>
              <w:br/>
              <w:t>若不成立：Noisy descriptors could dominate class similarity.</w:t>
              <w:br/>
              <w:t>如何检验：Mask or reweight descriptors and measure sensitivity.</w:t>
              <w:br/>
              <w:t>依据：ev-002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创新判断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相对本文 prior work 的变化：Relative to the paper-framed baseline, the change is global-to-local matching.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9FAFB"/>
            <w:tcBorders>
              <w:top w:val="nil"/>
              <w:left w:val="single" w:sz="18" w:color="9CA3AF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4B5563"/>
                <w:sz w:val="19"/>
              </w:rPr>
              <w:t>领域首创性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B5563"/>
                <w:sz w:val="19"/>
              </w:rPr>
              <w:t>当前未进行系统外部 prior-art 核验，因此不据此判断是否属于领域首次提出。</w:t>
            </w:r>
          </w:p>
        </w:tc>
      </w:tr>
    </w:tbl>
    <w:p>
      <w:pPr>
        <w:spacing w:after="0"/>
      </w:pPr>
    </w:p>
    <w:p>
      <w:pPr>
        <w:pStyle w:val="SFEnote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核验状态：仅完成论文内部比较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主要贡献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贡献 1：The paper integrates local matching into a few-shot classifier.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04 实验与证据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主要结果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结果 1：The paper reports improved accuracy on its tested setup.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Claim–Evidence</w:t>
      </w: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cl-001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核心判断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method uses descriptor-level matching instead of only global matching.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论文内部支持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支持充分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为什么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abstract and method section directly describe local descriptor matching.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适用边界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Supports method design, not universal performance superiority.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不能进一步证明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matching is universally superior across tasks and domains.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如何进一步加强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Run matched-backbone comparisons across multiple datasets and domains.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外部核验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未进行外部复现/核验</w:t>
            </w:r>
          </w:p>
        </w:tc>
      </w:tr>
      <w:tr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依据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ev-001、ev-002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整体论文内部证据支持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有一定支持</w:t>
            </w:r>
          </w:p>
        </w:tc>
      </w:tr>
    </w:tbl>
    <w:p>
      <w:pPr>
        <w:spacing w:after="0"/>
      </w:pPr>
    </w:p>
    <w:p>
      <w:pPr>
        <w:pStyle w:val="SFEnote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外部核验状态：未进行外部复现/核验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支持较充分的判断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The method uses descriptor-level aggregation.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仍缺少的验证</w:t>
      </w:r>
    </w:p>
    <w:p>
      <w:pPr>
        <w:pStyle w:val="ListBullet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78350F"/>
          <w:sz w:val="20"/>
        </w:rPr>
        <w:t>No external replication was inspected.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05 批判性评价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当前材料仍无法确认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Current materials do not establish cross-domain robustness.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PaperScope 分析出的局限</w:t>
      </w:r>
    </w:p>
    <w:p>
      <w:pPr>
        <w:pStyle w:val="SFElimitation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7F1D1D"/>
          <w:sz w:val="20"/>
        </w:rPr>
        <w:t>Robustness to noisy local descriptors is not established.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脆弱假设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78350F"/>
                <w:sz w:val="20"/>
              </w:rPr>
              <w:t>脆弱假设 as-001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78350F"/>
                <w:sz w:val="20"/>
              </w:rPr>
              <w:t>若该假设不成立：Noisy descriptors could dominate class similarity.</w:t>
              <w:br/>
              <w:t>依据：ev-002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Reviewer Questions</w:t>
      </w:r>
    </w:p>
    <w:p>
      <w:pPr>
        <w:pStyle w:val="ListNumber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78350F"/>
          <w:sz w:val="20"/>
        </w:rPr>
        <w:t>How sensitive is performance to descriptor noise?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复现风险</w:t>
      </w:r>
    </w:p>
    <w:p>
      <w:pPr>
        <w:pStyle w:val="ListBullet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78350F"/>
          <w:sz w:val="20"/>
        </w:rPr>
        <w:t>Exact visual artifacts were not inspected.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评估风险</w:t>
      </w:r>
    </w:p>
    <w:p>
      <w:pPr>
        <w:pStyle w:val="ListBullet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78350F"/>
          <w:sz w:val="20"/>
        </w:rPr>
        <w:t>Cross-domain generalization is not established.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适用边界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Current evidence supports the reported few-shot setup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06 开放问题与精读建议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开放问题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Open Question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问题：How sensitive is local matching to uninformative descriptors?</w:t>
              <w:br/>
              <w:t>来源：PaperScope 分析得到</w:t>
              <w:br/>
              <w:t>为什么重要：The core similarity aggregates many local matches.</w:t>
              <w:br/>
              <w:t>建议如何验证：Stress-test descriptor masking, weighting, and noise injection while holding the backbone fixed.</w:t>
              <w:br/>
              <w:t>依据：ev-002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精读路线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优先级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原文位置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为什么值得看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必读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Method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Defines the local matching mechanism.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ev-002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9FAFB"/>
            <w:tcBorders>
              <w:top w:val="nil"/>
              <w:left w:val="single" w:sz="18" w:color="9CA3AF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4B5563"/>
                <w:sz w:val="19"/>
              </w:rPr>
              <w:t>20 分钟阅读路线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B5563"/>
                <w:sz w:val="19"/>
              </w:rPr>
              <w:t>Abstract → Method → Experiments/Discussion if available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材料边界与说明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This example is synthetic and demonstrates schema structure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附录：证据索引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ev-001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证据类型: 摘要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ev-002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证据类型: 正文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t xml:space="preserve"> · 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 · AI 论文精读报告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line="348" w:lineRule="auto" w:before="0" w:after="100"/>
      <w:ind w:left="0" w:right="0" w:firstLine="420"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64" w:lineRule="auto"/>
      <w:ind w:left="0" w:right="0" w:firstLine="0"/>
      <w:jc w:val="left"/>
      <w:outlineLvl w:val="0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76" w:lineRule="auto"/>
      <w:ind w:left="0" w:right="0" w:firstLine="0"/>
      <w:jc w:val="left"/>
      <w:outlineLvl w:val="1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 w:line="276" w:lineRule="auto"/>
      <w:ind w:left="0" w:right="0" w:firstLine="0"/>
      <w:jc w:val="left"/>
      <w:outlineLvl w:val="2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200" w:line="264" w:lineRule="auto" w:before="0"/>
      <w:ind w:left="0" w:right="0" w:firstLine="0"/>
      <w:contextualSpacing/>
      <w:jc w:val="center"/>
      <w:widowControl/>
    </w:pPr>
    <w:rPr>
      <w:rFonts w:asciiTheme="majorHAnsi" w:eastAsiaTheme="majorEastAsia" w:hAnsiTheme="majorHAnsi" w:cstheme="majorBidi" w:ascii="Arial" w:hAnsi="Arial" w:eastAsia="Microsoft YaHei"/>
      <w:b/>
      <w:i w:val="0"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pageBreakBefore w:val="0"/>
      <w:numPr>
        <w:numId w:val="1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pageBreakBefore w:val="0"/>
      <w:numPr>
        <w:numId w:val="2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pageBreakBefore w:val="0"/>
      <w:numPr>
        <w:numId w:val="5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keepNext w:val="0"/>
      <w:pageBreakBefore w:val="0"/>
      <w:numPr>
        <w:numId w:val="6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Esubtitle">
    <w:name w:val="SFE subtitle"/>
    <w:pPr>
      <w:keepNext/>
      <w:pageBreakBefore w:val="0"/>
      <w:spacing w:line="276" w:lineRule="auto" w:before="0" w:after="320"/>
      <w:ind w:left="0" w:right="0" w:firstLine="0"/>
      <w:jc w:val="center"/>
      <w:widowControl/>
    </w:pPr>
    <w:rPr>
      <w:rFonts w:ascii="Times New Roman" w:hAnsi="Times New Roman" w:eastAsia="Microsoft YaHei"/>
      <w:b w:val="0"/>
      <w:i w:val="0"/>
      <w:color w:val="334155"/>
      <w:sz w:val="27"/>
    </w:rPr>
  </w:style>
  <w:style w:type="paragraph" w:customStyle="1" w:styleId="SFElead">
    <w:name w:val="SFE lead"/>
    <w:pPr>
      <w:keepNext w:val="0"/>
      <w:pageBreakBefore w:val="0"/>
      <w:spacing w:line="348" w:lineRule="auto" w:before="0" w:after="160"/>
      <w:ind w:left="0" w:right="0" w:firstLine="0"/>
      <w:jc w:val="both"/>
      <w:widowControl/>
    </w:pPr>
    <w:rPr>
      <w:rFonts w:ascii="Times New Roman" w:hAnsi="Times New Roman" w:eastAsia="SimSun"/>
      <w:b w:val="0"/>
      <w:i w:val="0"/>
      <w:color w:val="111827"/>
      <w:sz w:val="22"/>
    </w:rPr>
  </w:style>
  <w:style w:type="paragraph" w:customStyle="1" w:styleId="SFEquote">
    <w:name w:val="SFE quote"/>
    <w:pPr>
      <w:keepNext w:val="0"/>
      <w:pageBreakBefore w:val="0"/>
      <w:spacing w:line="324" w:lineRule="auto" w:before="80" w:after="120"/>
      <w:ind w:left="454" w:right="283" w:firstLine="0"/>
      <w:jc w:val="left"/>
      <w:widowControl/>
    </w:pPr>
    <w:rPr>
      <w:rFonts w:ascii="Times New Roman" w:hAnsi="Times New Roman" w:eastAsia="SimSun"/>
      <w:b w:val="0"/>
      <w:i w:val="0"/>
      <w:color w:val="374151"/>
      <w:sz w:val="20"/>
    </w:rPr>
  </w:style>
  <w:style w:type="paragraph" w:customStyle="1" w:styleId="SFEevidence">
    <w:name w:val="SFE evidenc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19"/>
    </w:rPr>
  </w:style>
  <w:style w:type="paragraph" w:customStyle="1" w:styleId="SFEanalysis">
    <w:name w:val="SFE analysis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warning">
    <w:name w:val="SFE warning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78350F"/>
      <w:sz w:val="20"/>
    </w:rPr>
  </w:style>
  <w:style w:type="paragraph" w:customStyle="1" w:styleId="SFElimitation">
    <w:name w:val="SFE limitation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7F1D1D"/>
      <w:sz w:val="20"/>
    </w:rPr>
  </w:style>
  <w:style w:type="paragraph" w:customStyle="1" w:styleId="SFEnote">
    <w:name w:val="SFE not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4B5563"/>
      <w:sz w:val="19"/>
    </w:rPr>
  </w:style>
  <w:style w:type="paragraph" w:customStyle="1" w:styleId="SFEreviewer_comment">
    <w:name w:val="SFE reviewer_comment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7C2D12"/>
      <w:sz w:val="20"/>
    </w:rPr>
  </w:style>
  <w:style w:type="paragraph" w:customStyle="1" w:styleId="SFEauthor_response">
    <w:name w:val="SFE author_response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4532D"/>
      <w:sz w:val="20"/>
    </w:rPr>
  </w:style>
  <w:style w:type="paragraph" w:customStyle="1" w:styleId="SFEcaption">
    <w:name w:val="SFE caption"/>
    <w:pPr>
      <w:keepNext w:val="0"/>
      <w:pageBreakBefore w:val="0"/>
      <w:spacing w:line="264" w:lineRule="auto" w:before="60" w:after="140"/>
      <w:ind w:left="0" w:right="0" w:firstLine="0"/>
      <w:jc w:val="center"/>
      <w:widowControl/>
    </w:pPr>
    <w:rPr>
      <w:rFonts w:ascii="Times New Roman" w:hAnsi="Times New Roman" w:eastAsia="SimSun"/>
      <w:b w:val="0"/>
      <w:i w:val="0"/>
      <w:color w:val="374151"/>
      <w:sz w:val="19"/>
    </w:rPr>
  </w:style>
  <w:style w:type="paragraph" w:customStyle="1" w:styleId="SFEtable">
    <w:name w:val="SFE table"/>
    <w:pPr>
      <w:keepNext w:val="0"/>
      <w:pageBreakBefore w:val="0"/>
      <w:spacing w:line="276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11827"/>
      <w:sz w:val="19"/>
    </w:rPr>
  </w:style>
  <w:style w:type="paragraph" w:customStyle="1" w:styleId="SFEtable_header">
    <w:name w:val="SFE table_header"/>
    <w:pPr>
      <w:keepNext/>
      <w:pageBreakBefore w:val="0"/>
      <w:spacing w:line="264" w:lineRule="auto" w:before="0" w:after="0"/>
      <w:ind w:left="0" w:right="0" w:firstLine="0"/>
      <w:jc w:val="center"/>
      <w:widowControl/>
    </w:pPr>
    <w:rPr>
      <w:rFonts w:ascii="Times New Roman" w:hAnsi="Times New Roman" w:eastAsia="Microsoft YaHei"/>
      <w:b/>
      <w:i w:val="0"/>
      <w:color w:val="111827"/>
      <w:sz w:val="19"/>
    </w:rPr>
  </w:style>
  <w:style w:type="paragraph" w:customStyle="1" w:styleId="SFEcode">
    <w:name w:val="SFE code"/>
    <w:pPr>
      <w:keepNext w:val="0"/>
      <w:pageBreakBefore w:val="0"/>
      <w:spacing w:line="276" w:lineRule="auto" w:before="60" w:after="100"/>
      <w:ind w:left="340" w:right="340" w:firstLine="0"/>
      <w:jc w:val="left"/>
      <w:widowControl/>
    </w:pPr>
    <w:rPr>
      <w:rFonts w:ascii="Consolas" w:hAnsi="Consolas" w:eastAsia="Microsoft YaHei"/>
      <w:b w:val="0"/>
      <w:i w:val="0"/>
      <w:color w:val="111827"/>
      <w:sz w:val="19"/>
    </w:rPr>
  </w:style>
  <w:style w:type="paragraph" w:customStyle="1" w:styleId="SFEequation">
    <w:name w:val="SFE equation"/>
    <w:pPr>
      <w:keepNext w:val="0"/>
      <w:pageBreakBefore w:val="0"/>
      <w:spacing w:line="288" w:lineRule="auto" w:before="100" w:after="100"/>
      <w:ind w:left="0" w:right="0" w:firstLine="0"/>
      <w:jc w:val="center"/>
      <w:widowControl/>
    </w:pPr>
    <w:rPr>
      <w:rFonts w:ascii="Cambria Math" w:hAnsi="Cambria Math" w:eastAsia="Cambria Math"/>
      <w:b w:val="0"/>
      <w:i/>
      <w:color w:val="11182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