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pageBreakBefore w:val="0"/>
        <w:spacing w:line="264" w:lineRule="auto" w:before="0" w:after="140"/>
        <w:ind w:left="0" w:right="0" w:firstLine="0"/>
        <w:jc w:val="center"/>
        <w:widowControl/>
      </w:pPr>
      <w:r>
        <w:rPr>
          <w:rFonts w:ascii="Arial" w:hAnsi="Arial" w:eastAsia="Microsoft YaHei" w:cs="Arial"/>
          <w:b/>
          <w:i w:val="0"/>
          <w:color w:val="0F172A"/>
          <w:sz w:val="38"/>
        </w:rPr>
        <w:t>AI 论文精读报告</w:t>
      </w:r>
    </w:p>
    <w:p>
      <w:pPr>
        <w:pStyle w:val="SFEsubtitle"/>
        <w:keepNext/>
        <w:pageBreakBefore w:val="0"/>
        <w:spacing w:line="276" w:lineRule="auto" w:before="0" w:after="200"/>
        <w:ind w:left="0" w:right="0" w:firstLine="0"/>
        <w:jc w:val="center"/>
        <w:widowControl/>
      </w:pPr>
      <w:r>
        <w:rPr>
          <w:rFonts w:ascii="Times New Roman" w:hAnsi="Times New Roman" w:eastAsia="Microsoft YaHei" w:cs="Times New Roman"/>
          <w:b w:val="0"/>
          <w:i w:val="0"/>
          <w:color w:val="334155"/>
          <w:sz w:val="25"/>
        </w:rPr>
        <w:t>Example Method Paper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作者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A. Author</w:t>
            </w:r>
          </w:p>
        </w:tc>
      </w:tr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年份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2026</w:t>
            </w:r>
          </w:p>
        </w:tc>
      </w:tr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分析版本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Uploaded PDF</w:t>
            </w:r>
          </w:p>
        </w:tc>
      </w:tr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材料覆盖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充分</w:t>
            </w:r>
          </w:p>
        </w:tc>
      </w:tr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证据定位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可定位至章节/图表</w:t>
            </w:r>
          </w:p>
        </w:tc>
      </w:tr>
      <w:tr>
        <w:trPr>
          <w:cantSplit/>
        </w:trPr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  <w:shd w:fill="F4F7FB"/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外部核验</w:t>
            </w:r>
          </w:p>
        </w:tc>
        <w:tc>
          <w:tcPr>
            <w:tcW w:type="dxa" w:w="4479"/>
            <w:tcMar>
              <w:top w:w="79" w:type="dxa"/>
              <w:start w:w="95" w:type="dxa"/>
              <w:bottom w:w="79" w:type="dxa"/>
              <w:end w:w="95" w:type="dxa"/>
            </w:tcMar>
            <w:vAlign w:val="center"/>
            <w:tcBorders>
              <w:bottom w:val="single" w:sz="3" w:color="E5E7E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仅基于本文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12E81"/>
          <w:sz w:val="30"/>
        </w:rPr>
        <w:t>01 论文速览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EEF2FF"/>
            <w:tcBorders>
              <w:top w:val="nil"/>
              <w:left w:val="single" w:sz="18" w:color="4F46E5"/>
              <w:bottom w:val="nil"/>
              <w:right w:val="nil"/>
            </w:tcBorders>
          </w:tcPr>
          <w:p>
            <w:pPr>
              <w:keepNext w:val="0"/>
              <w:pageBreakBefore w:val="0"/>
              <w:spacing w:line="300" w:lineRule="auto" w:before="0" w:after="40"/>
              <w:ind w:left="0" w:right="0" w:firstLine="0"/>
              <w:jc w:val="left"/>
              <w:widowControl/>
            </w:pPr>
            <w:r/>
            <w:r>
              <w:rPr>
                <w:rFonts w:ascii="Arial" w:hAnsi="Arial" w:eastAsia="Microsoft YaHei" w:cs="Arial"/>
                <w:b/>
                <w:i w:val="0"/>
                <w:color w:val="312E81"/>
                <w:sz w:val="22"/>
              </w:rPr>
              <w:t>3 分钟看懂</w:t>
              <w:br/>
            </w:r>
            <w:r>
              <w:rPr>
                <w:rFonts w:ascii="Arial" w:hAnsi="Arial" w:eastAsia="Microsoft YaHei" w:cs="Arial"/>
                <w:b/>
                <w:i w:val="0"/>
                <w:color w:val="312E81"/>
                <w:sz w:val="22"/>
              </w:rPr>
              <w:t>The paper replaces global matching with descriptor-level matching, with bounded evidence for the tested setup.</w:t>
            </w:r>
          </w:p>
        </w:tc>
      </w:tr>
    </w:tbl>
    <w:p>
      <w:pPr>
        <w:spacing w:after="0"/>
      </w:pPr>
    </w:p>
    <w:p>
      <w:pPr>
        <w:pStyle w:val="SFEcaption"/>
        <w:keepNext w:val="0"/>
        <w:pageBreakBefore w:val="0"/>
        <w:spacing w:line="264" w:lineRule="auto" w:before="60" w:after="140"/>
        <w:ind w:left="0" w:right="0" w:firstLine="0"/>
        <w:jc w:val="center"/>
        <w:widowControl/>
      </w:pPr>
      <w:r>
        <w:rPr>
          <w:rFonts w:ascii="Times New Roman" w:hAnsi="Times New Roman" w:eastAsia="SimSun" w:cs="Times New Roman"/>
          <w:b w:val="0"/>
          <w:i w:val="0"/>
          <w:color w:val="374151"/>
          <w:sz w:val="19"/>
        </w:rPr>
        <w:t>科研判断卡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1"/>
        <w:gridCol w:w="6987"/>
      </w:tblGrid>
      <w:tr>
        <w:trPr>
          <w:cantSplit/>
          <w:tblHeader w:val="true"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你最关心什么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判断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核心问题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Whether global image matching discards useful local evidence in few-shot classification.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核心方法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Descriptor-level query-to-support matching with aggregated class similarity.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真正变化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paper-framed delta is replacing global matching with learnable local matching inside the few-shot classifier.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最强证据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inspected method section directly describes descriptor-level matching.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最大缺陷 / 风险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Performance may depend on local descriptors being class-discriminative rather than noisy.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为什么值得读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paper is useful because it isolates a clear representational change—global matching to local descriptor matching—that is easy to reason about and stress-test.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最值得继续研究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Test whether local matches should be reliability-weighted when background or weak descriptors can contribute misleading class evidence.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92"/>
        <w:gridCol w:w="7166"/>
      </w:tblGrid>
      <w:tr>
        <w:trPr>
          <w:cantSplit/>
          <w:tblHeader w:val="true"/>
        </w:trPr>
        <w:tc>
          <w:tcPr>
            <w:tcW w:type="dxa" w:w="179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项目</w:t>
            </w:r>
          </w:p>
        </w:tc>
        <w:tc>
          <w:tcPr>
            <w:tcW w:type="dxa" w:w="7166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判断</w:t>
            </w:r>
          </w:p>
        </w:tc>
      </w:tr>
      <w:tr>
        <w:trPr>
          <w:cantSplit/>
        </w:trPr>
        <w:tc>
          <w:tcPr>
            <w:tcW w:type="dxa" w:w="179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论文内部证据</w:t>
            </w:r>
          </w:p>
        </w:tc>
        <w:tc>
          <w:tcPr>
            <w:tcW w:type="dxa" w:w="7166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有一定支持</w:t>
            </w:r>
          </w:p>
        </w:tc>
      </w:tr>
      <w:tr>
        <w:trPr>
          <w:cantSplit/>
        </w:trPr>
        <w:tc>
          <w:tcPr>
            <w:tcW w:type="dxa" w:w="179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阅读建议</w:t>
            </w:r>
          </w:p>
        </w:tc>
        <w:tc>
          <w:tcPr>
            <w:tcW w:type="dxa" w:w="7166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建议重点阅读核心章节｜The method is concise; the Method section carries most of the value.</w:t>
            </w:r>
          </w:p>
        </w:tc>
      </w:tr>
    </w:tbl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4338CA"/>
          <w:sz w:val="25"/>
        </w:rPr>
        <w:t>材料覆盖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00"/>
        <w:gridCol w:w="4658"/>
      </w:tblGrid>
      <w:tr>
        <w:trPr>
          <w:cantSplit/>
          <w:tblHeader w:val="true"/>
        </w:trPr>
        <w:tc>
          <w:tcPr>
            <w:tcW w:type="dxa" w:w="430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材料</w:t>
            </w:r>
          </w:p>
        </w:tc>
        <w:tc>
          <w:tcPr>
            <w:tcW w:type="dxa" w:w="465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正文</w:t>
            </w:r>
          </w:p>
        </w:tc>
        <w:tc>
          <w:tcPr>
            <w:tcW w:type="dxa" w:w="465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已获取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章节结构</w:t>
            </w:r>
          </w:p>
        </w:tc>
        <w:tc>
          <w:tcPr>
            <w:tcW w:type="dxa" w:w="465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已获取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表格</w:t>
            </w:r>
          </w:p>
        </w:tc>
        <w:tc>
          <w:tcPr>
            <w:tcW w:type="dxa" w:w="465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未获取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图</w:t>
            </w:r>
          </w:p>
        </w:tc>
        <w:tc>
          <w:tcPr>
            <w:tcW w:type="dxa" w:w="465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未获取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公式</w:t>
            </w:r>
          </w:p>
        </w:tc>
        <w:tc>
          <w:tcPr>
            <w:tcW w:type="dxa" w:w="465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未获取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代码</w:t>
            </w:r>
          </w:p>
        </w:tc>
        <w:tc>
          <w:tcPr>
            <w:tcW w:type="dxa" w:w="465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未核验</w:t>
            </w:r>
          </w:p>
        </w:tc>
      </w:tr>
      <w:tr>
        <w:trPr>
          <w:cantSplit/>
        </w:trPr>
        <w:tc>
          <w:tcPr>
            <w:tcW w:type="dxa" w:w="4300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外部文献</w:t>
            </w:r>
          </w:p>
        </w:tc>
        <w:tc>
          <w:tcPr>
            <w:tcW w:type="dxa" w:w="465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未核验</w:t>
            </w:r>
          </w:p>
        </w:tc>
      </w:tr>
    </w:tbl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12E81"/>
          <w:sz w:val="30"/>
        </w:rPr>
        <w:t>02 研究问题与 Gap</w:t>
      </w:r>
    </w:p>
    <w:p>
      <w:pPr>
        <w:keepNext w:val="0"/>
        <w:pageBreakBefore w:val="0"/>
        <w:spacing w:line="348" w:lineRule="auto" w:before="0" w:after="100"/>
        <w:ind w:left="0" w:right="0" w:firstLine="42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作者界定的问题：The paper frames global matching as potentially inadequate for few-shot classification.</w:t>
      </w:r>
    </w:p>
    <w:p>
      <w:pPr>
        <w:keepNext w:val="0"/>
        <w:pageBreakBefore w:val="0"/>
        <w:spacing w:line="348" w:lineRule="auto" w:before="0" w:after="100"/>
        <w:ind w:left="0" w:right="0" w:firstLine="42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论文声称的 Gap：The paper motivates local descriptor matching as an alternative to a single global representation.</w:t>
      </w:r>
    </w:p>
    <w:p>
      <w:pPr>
        <w:pStyle w:val="SFEanalysis"/>
        <w:keepNext w:val="0"/>
        <w:pageBreakBefore w:val="0"/>
        <w:spacing w:line="300" w:lineRule="auto" w:before="0" w:after="4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1F2937"/>
          <w:sz w:val="20"/>
        </w:rPr>
        <w:t>实际瓶颈：The operational bottleneck is whether a sparse support set is better represented as a pool of local evidence rather than one global vector.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5F3FF"/>
            <w:tcBorders>
              <w:top w:val="nil"/>
              <w:left w:val="single" w:sz="18" w:color="7C3AED"/>
              <w:bottom w:val="nil"/>
              <w:right w:val="nil"/>
            </w:tcBorders>
          </w:tcPr>
          <w:p>
            <w:pPr>
              <w:keepNext w:val="0"/>
              <w:pageBreakBefore w:val="0"/>
              <w:spacing w:line="300" w:lineRule="auto" w:before="0" w:after="40"/>
              <w:ind w:left="0" w:right="0" w:firstLine="0"/>
              <w:jc w:val="left"/>
              <w:widowControl/>
            </w:pPr>
            <w:r/>
            <w:r>
              <w:rPr>
                <w:rFonts w:ascii="Arial" w:hAnsi="Arial" w:eastAsia="Microsoft YaHei" w:cs="Arial"/>
                <w:b/>
                <w:i w:val="0"/>
                <w:color w:val="1F2937"/>
                <w:sz w:val="21"/>
              </w:rPr>
              <w:t>Gap 判断</w:t>
              <w:br/>
            </w:r>
            <w:r>
              <w:rPr>
                <w:rFonts w:ascii="Arial" w:hAnsi="Arial" w:eastAsia="Microsoft YaHei" w:cs="Arial"/>
                <w:b w:val="0"/>
                <w:i w:val="0"/>
                <w:color w:val="1F2937"/>
                <w:sz w:val="21"/>
              </w:rPr>
              <w:t>Gap 部分成立。The inspected material motivates the gap clearly, but the synthetic example does not include a full prior-work comparison.</w:t>
            </w:r>
            <w:r>
              <w:br/>
            </w:r>
            <w:r>
              <w:rPr>
                <w:rFonts w:ascii="Arial" w:hAnsi="Arial" w:eastAsia="Microsoft YaHei" w:cs="Arial"/>
                <w:b/>
                <w:i w:val="0"/>
                <w:color w:val="1F2937"/>
                <w:sz w:val="21"/>
              </w:rPr>
              <w:t>依据：</w:t>
            </w:r>
            <w:r>
              <w:rPr>
                <w:rFonts w:ascii="Arial" w:hAnsi="Arial" w:eastAsia="Microsoft YaHei" w:cs="Arial"/>
                <w:b w:val="0"/>
                <w:i w:val="0"/>
                <w:color w:val="1F2937"/>
                <w:sz w:val="21"/>
              </w:rPr>
              <w:t>E1、E2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12E81"/>
          <w:sz w:val="30"/>
        </w:rPr>
        <w:t>03 核心方法与真实创新</w:t>
      </w:r>
    </w:p>
    <w:p>
      <w:pPr>
        <w:pStyle w:val="SFElead"/>
        <w:keepNext w:val="0"/>
        <w:pageBreakBefore w:val="0"/>
        <w:spacing w:line="348" w:lineRule="auto" w:before="0" w:after="160"/>
        <w:ind w:left="0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2"/>
        </w:rPr>
        <w:t>方法概述：The method performs descriptor-level query-to-support matching.</w:t>
      </w:r>
    </w:p>
    <w:p>
      <w:pPr>
        <w:pStyle w:val="SFEcaption"/>
        <w:keepNext w:val="0"/>
        <w:pageBreakBefore w:val="0"/>
        <w:spacing w:line="264" w:lineRule="auto" w:before="60" w:after="140"/>
        <w:ind w:left="0" w:right="0" w:firstLine="0"/>
        <w:jc w:val="center"/>
        <w:widowControl/>
      </w:pPr>
      <w:r>
        <w:rPr>
          <w:rFonts w:ascii="Times New Roman" w:hAnsi="Times New Roman" w:eastAsia="SimSun" w:cs="Times New Roman"/>
          <w:b w:val="0"/>
          <w:i w:val="0"/>
          <w:color w:val="374151"/>
          <w:sz w:val="19"/>
        </w:rPr>
        <w:t>方法差异链（Method Diff）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1"/>
        <w:gridCol w:w="6987"/>
      </w:tblGrid>
      <w:tr>
        <w:trPr>
          <w:cantSplit/>
          <w:tblHeader w:val="true"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环节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Previous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paper contrasts the method with global matching.</w:t>
              <w:br/>
              <w:t>依据：E1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Proposed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Replace global matching with local descriptor aggregation.</w:t>
              <w:br/>
              <w:t>依据：E1、E2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Mechanism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Query descriptors are compared with support descriptors and similarities are aggregated.</w:t>
              <w:br/>
              <w:t>依据：E2</w:t>
            </w:r>
          </w:p>
        </w:tc>
      </w:tr>
      <w:tr>
        <w:trPr>
          <w:cantSplit/>
        </w:trPr>
        <w:tc>
          <w:tcPr>
            <w:tcW w:type="dxa" w:w="197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Expected Effect</w:t>
            </w:r>
          </w:p>
        </w:tc>
        <w:tc>
          <w:tcPr>
            <w:tcW w:type="dxa" w:w="69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The design may preserve local discriminative information.</w:t>
              <w:br/>
              <w:t>依据：E2</w:t>
            </w:r>
          </w:p>
        </w:tc>
      </w:tr>
    </w:tbl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4338CA"/>
          <w:sz w:val="25"/>
        </w:rPr>
        <w:t>核心模块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44"/>
        <w:gridCol w:w="1612"/>
        <w:gridCol w:w="2419"/>
        <w:gridCol w:w="2687"/>
        <w:gridCol w:w="896"/>
      </w:tblGrid>
      <w:tr>
        <w:trPr>
          <w:cantSplit/>
          <w:tblHeader w:val="true"/>
        </w:trPr>
        <w:tc>
          <w:tcPr>
            <w:tcW w:type="dxa" w:w="1344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模块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作用</w:t>
            </w:r>
          </w:p>
        </w:tc>
        <w:tc>
          <w:tcPr>
            <w:tcW w:type="dxa" w:w="241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核心操作</w:t>
            </w:r>
          </w:p>
        </w:tc>
        <w:tc>
          <w:tcPr>
            <w:tcW w:type="dxa" w:w="26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为什么需要</w:t>
            </w:r>
          </w:p>
        </w:tc>
        <w:tc>
          <w:tcPr>
            <w:tcW w:type="dxa" w:w="896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依据</w:t>
            </w:r>
          </w:p>
        </w:tc>
      </w:tr>
      <w:tr>
        <w:trPr>
          <w:cantSplit/>
        </w:trPr>
        <w:tc>
          <w:tcPr>
            <w:tcW w:type="dxa" w:w="1344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Local Matching</w:t>
            </w:r>
          </w:p>
        </w:tc>
        <w:tc>
          <w:tcPr>
            <w:tcW w:type="dxa" w:w="161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Compute query-support local similarity</w:t>
            </w:r>
          </w:p>
        </w:tc>
        <w:tc>
          <w:tcPr>
            <w:tcW w:type="dxa" w:w="2419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Compare descriptors and aggregate similarity</w:t>
            </w:r>
          </w:p>
        </w:tc>
        <w:tc>
          <w:tcPr>
            <w:tcW w:type="dxa" w:w="268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Avoid relying only on a single global vector</w:t>
            </w:r>
          </w:p>
        </w:tc>
        <w:tc>
          <w:tcPr>
            <w:tcW w:type="dxa" w:w="896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E2</w:t>
            </w:r>
          </w:p>
        </w:tc>
      </w:tr>
    </w:tbl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4338CA"/>
          <w:sz w:val="25"/>
        </w:rPr>
        <w:t>关键假设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7"/>
        <w:gridCol w:w="4121"/>
        <w:gridCol w:w="896"/>
        <w:gridCol w:w="3225"/>
      </w:tblGrid>
      <w:tr>
        <w:trPr>
          <w:cantSplit/>
          <w:tblHeader w:val="true"/>
        </w:trPr>
        <w:tc>
          <w:tcPr>
            <w:tcW w:type="dxa" w:w="71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假设</w:t>
            </w:r>
          </w:p>
        </w:tc>
        <w:tc>
          <w:tcPr>
            <w:tcW w:type="dxa" w:w="412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内容</w:t>
            </w:r>
          </w:p>
        </w:tc>
        <w:tc>
          <w:tcPr>
            <w:tcW w:type="dxa" w:w="896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风险</w:t>
            </w:r>
          </w:p>
        </w:tc>
        <w:tc>
          <w:tcPr>
            <w:tcW w:type="dxa" w:w="322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若不成立</w:t>
            </w:r>
          </w:p>
        </w:tc>
      </w:tr>
      <w:tr>
        <w:trPr>
          <w:cantSplit/>
        </w:trPr>
        <w:tc>
          <w:tcPr>
            <w:tcW w:type="dxa" w:w="71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A1</w:t>
            </w:r>
          </w:p>
        </w:tc>
        <w:tc>
          <w:tcPr>
            <w:tcW w:type="dxa" w:w="4121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Local descriptor matches are sufficiently discriminative.</w:t>
            </w:r>
          </w:p>
        </w:tc>
        <w:tc>
          <w:tcPr>
            <w:tcW w:type="dxa" w:w="896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高</w:t>
            </w:r>
          </w:p>
        </w:tc>
        <w:tc>
          <w:tcPr>
            <w:tcW w:type="dxa" w:w="3225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Noisy descriptors could dominate class similarity.</w:t>
            </w:r>
          </w:p>
        </w:tc>
      </w:tr>
    </w:tbl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4338CA"/>
          <w:sz w:val="25"/>
        </w:rPr>
        <w:t>真实创新判断</w:t>
      </w:r>
    </w:p>
    <w:p>
      <w:pPr>
        <w:pStyle w:val="SFEjudgment"/>
        <w:keepNext w:val="0"/>
        <w:pageBreakBefore w:val="0"/>
        <w:spacing w:line="300" w:lineRule="auto" w:before="0" w:after="40"/>
        <w:ind w:left="0" w:right="0" w:firstLine="0"/>
        <w:jc w:val="left"/>
        <w:widowControl/>
      </w:pPr>
      <w:r>
        <w:rPr>
          <w:rFonts w:ascii="Arial" w:hAnsi="Arial" w:eastAsia="Microsoft YaHei" w:cs="Arial"/>
          <w:b w:val="0"/>
          <w:i w:val="0"/>
          <w:color w:val="1F2937"/>
          <w:sz w:val="21"/>
        </w:rPr>
        <w:t>相对本文 prior work 的变化：Relative to the paper-framed baseline, the change is global-to-local matching.</w:t>
      </w:r>
    </w:p>
    <w:p>
      <w:pPr>
        <w:pStyle w:val="SFEsecondary"/>
        <w:keepNext w:val="0"/>
        <w:pageBreakBefore w:val="0"/>
        <w:spacing w:line="300" w:lineRule="auto" w:before="0" w:after="40"/>
        <w:ind w:left="0" w:right="0" w:firstLine="0"/>
        <w:jc w:val="left"/>
        <w:widowControl/>
      </w:pPr>
      <w:r>
        <w:rPr>
          <w:rFonts w:ascii="Arial" w:hAnsi="Arial" w:eastAsia="Microsoft YaHei" w:cs="Arial"/>
          <w:b w:val="0"/>
          <w:i w:val="0"/>
          <w:color w:val="6B7280"/>
          <w:sz w:val="19"/>
        </w:rPr>
        <w:t>领域首创性：未进行系统外部文献核验，暂不判断。</w:t>
      </w: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12E81"/>
          <w:sz w:val="30"/>
        </w:rPr>
        <w:t>04 实验与证据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4338CA"/>
          <w:sz w:val="25"/>
        </w:rPr>
        <w:t>关键实验解释链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EFF6FF"/>
            <w:tcBorders>
              <w:top w:val="nil"/>
              <w:left w:val="single" w:sz="18" w:color="2563EB"/>
              <w:bottom w:val="nil"/>
              <w:right w:val="nil"/>
            </w:tcBorders>
          </w:tcPr>
          <w:p>
            <w:pPr>
              <w:keepNext w:val="0"/>
              <w:pageBreakBefore w:val="0"/>
              <w:spacing w:line="300" w:lineRule="auto" w:before="0" w:after="40"/>
              <w:ind w:left="0" w:right="0" w:firstLine="0"/>
              <w:jc w:val="left"/>
              <w:widowControl/>
            </w:pPr>
            <w:r/>
            <w:r>
              <w:rPr>
                <w:rFonts w:ascii="Arial" w:hAnsi="Arial" w:eastAsia="Microsoft YaHei" w:cs="Arial"/>
                <w:b/>
                <w:i w:val="0"/>
                <w:color w:val="1F2937"/>
                <w:sz w:val="20"/>
              </w:rPr>
              <w:t>实验 1</w:t>
              <w:br/>
            </w:r>
            <w:r>
              <w:rPr>
                <w:rFonts w:ascii="Arial" w:hAnsi="Arial" w:eastAsia="Microsoft YaHei" w:cs="Arial"/>
                <w:b/>
                <w:i w:val="0"/>
                <w:color w:val="1F2937"/>
                <w:sz w:val="20"/>
              </w:rPr>
              <w:t>实验目的：</w:t>
            </w:r>
            <w:r>
              <w:rPr>
                <w:rFonts w:ascii="Arial" w:hAnsi="Arial" w:eastAsia="Microsoft YaHei" w:cs="Arial"/>
                <w:b w:val="0"/>
                <w:i w:val="0"/>
                <w:color w:val="1F2937"/>
                <w:sz w:val="20"/>
              </w:rPr>
              <w:t>Test whether local matching improves few-shot classification relative to global matching.</w:t>
            </w:r>
            <w:r>
              <w:br/>
            </w:r>
            <w:r>
              <w:rPr>
                <w:rFonts w:ascii="Arial" w:hAnsi="Arial" w:eastAsia="Microsoft YaHei" w:cs="Arial"/>
                <w:b/>
                <w:i w:val="0"/>
                <w:color w:val="1F2937"/>
                <w:sz w:val="20"/>
              </w:rPr>
              <w:t>结果：</w:t>
            </w:r>
            <w:r>
              <w:rPr>
                <w:rFonts w:ascii="Arial" w:hAnsi="Arial" w:eastAsia="Microsoft YaHei" w:cs="Arial"/>
                <w:b w:val="0"/>
                <w:i w:val="0"/>
                <w:color w:val="1F2937"/>
                <w:sz w:val="20"/>
              </w:rPr>
              <w:t>The paper reports improved accuracy on the tested setup.</w:t>
            </w:r>
            <w:r>
              <w:br/>
            </w:r>
            <w:r>
              <w:rPr>
                <w:rFonts w:ascii="Arial" w:hAnsi="Arial" w:eastAsia="Microsoft YaHei" w:cs="Arial"/>
                <w:b/>
                <w:i w:val="0"/>
                <w:color w:val="1F2937"/>
                <w:sz w:val="20"/>
              </w:rPr>
              <w:t>真正支持：</w:t>
            </w:r>
            <w:r>
              <w:rPr>
                <w:rFonts w:ascii="Arial" w:hAnsi="Arial" w:eastAsia="Microsoft YaHei" w:cs="Arial"/>
                <w:b w:val="0"/>
                <w:i w:val="0"/>
                <w:color w:val="1F2937"/>
                <w:sz w:val="20"/>
              </w:rPr>
              <w:t>The paper provides within-study evidence that local matching can improve the tested setup.</w:t>
            </w:r>
            <w:r>
              <w:br/>
            </w:r>
            <w:r>
              <w:rPr>
                <w:rFonts w:ascii="Arial" w:hAnsi="Arial" w:eastAsia="Microsoft YaHei" w:cs="Arial"/>
                <w:b/>
                <w:i w:val="0"/>
                <w:color w:val="1F2937"/>
                <w:sz w:val="20"/>
              </w:rPr>
              <w:t>边界：</w:t>
            </w:r>
            <w:r>
              <w:rPr>
                <w:rFonts w:ascii="Arial" w:hAnsi="Arial" w:eastAsia="Microsoft YaHei" w:cs="Arial"/>
                <w:b w:val="0"/>
                <w:i w:val="0"/>
                <w:color w:val="1F2937"/>
                <w:sz w:val="20"/>
              </w:rPr>
              <w:t>The example does not establish universal superiority across datasets or domains.</w:t>
            </w:r>
            <w:r>
              <w:br/>
            </w:r>
            <w:r>
              <w:rPr>
                <w:rFonts w:ascii="Arial" w:hAnsi="Arial" w:eastAsia="Microsoft YaHei" w:cs="Arial"/>
                <w:b/>
                <w:i w:val="0"/>
                <w:color w:val="1F2937"/>
                <w:sz w:val="20"/>
              </w:rPr>
              <w:t>依据：</w:t>
            </w:r>
            <w:r>
              <w:rPr>
                <w:rFonts w:ascii="Arial" w:hAnsi="Arial" w:eastAsia="Microsoft YaHei" w:cs="Arial"/>
                <w:b w:val="0"/>
                <w:i w:val="0"/>
                <w:color w:val="1F2937"/>
                <w:sz w:val="20"/>
              </w:rPr>
              <w:t>E1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4338CA"/>
          <w:sz w:val="25"/>
        </w:rPr>
        <w:t>核心 Claim–Evidence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EFF6FF"/>
            <w:tcBorders>
              <w:top w:val="nil"/>
              <w:left w:val="single" w:sz="18" w:color="2563EB"/>
              <w:bottom w:val="nil"/>
              <w:right w:val="nil"/>
            </w:tcBorders>
          </w:tcPr>
          <w:p>
            <w:pPr>
              <w:keepNext w:val="0"/>
              <w:pageBreakBefore w:val="0"/>
              <w:spacing w:line="300" w:lineRule="auto" w:before="0" w:after="40"/>
              <w:ind w:left="0" w:right="0" w:firstLine="0"/>
              <w:jc w:val="left"/>
              <w:widowControl/>
            </w:pPr>
            <w:bookmarkStart w:id="1100918202" w:name="claim_1"/>
            <w:r/>
            <w:bookmarkEnd w:id="1100918202"/>
            <w:r>
              <w:rPr>
                <w:rFonts w:ascii="Arial" w:hAnsi="Arial" w:eastAsia="Microsoft YaHei" w:cs="Arial"/>
                <w:b/>
                <w:i w:val="0"/>
                <w:color w:val="1F2937"/>
                <w:sz w:val="20"/>
              </w:rPr>
              <w:t>Claim 1｜Core method change</w:t>
              <w:br/>
            </w:r>
            <w:r>
              <w:rPr>
                <w:rFonts w:ascii="Arial" w:hAnsi="Arial" w:eastAsia="Microsoft YaHei" w:cs="Arial"/>
                <w:b/>
                <w:i w:val="0"/>
                <w:color w:val="1F2937"/>
                <w:sz w:val="20"/>
              </w:rPr>
              <w:t>结论：</w:t>
            </w:r>
            <w:r>
              <w:rPr>
                <w:rFonts w:ascii="Arial" w:hAnsi="Arial" w:eastAsia="Microsoft YaHei" w:cs="Arial"/>
                <w:b w:val="0"/>
                <w:i w:val="0"/>
                <w:color w:val="1F2937"/>
                <w:sz w:val="20"/>
              </w:rPr>
              <w:t>The method uses descriptor-level matching instead of only global matching.</w:t>
            </w:r>
            <w:r>
              <w:br/>
            </w:r>
            <w:r>
              <w:rPr>
                <w:rFonts w:ascii="Arial" w:hAnsi="Arial" w:eastAsia="Microsoft YaHei" w:cs="Arial"/>
                <w:b/>
                <w:i w:val="0"/>
                <w:color w:val="1F2937"/>
                <w:sz w:val="20"/>
              </w:rPr>
              <w:t>支持程度：</w:t>
            </w:r>
            <w:r>
              <w:rPr>
                <w:rFonts w:ascii="Arial" w:hAnsi="Arial" w:eastAsia="Microsoft YaHei" w:cs="Arial"/>
                <w:b w:val="0"/>
                <w:i w:val="0"/>
                <w:color w:val="1F2937"/>
                <w:sz w:val="20"/>
              </w:rPr>
              <w:t>支持充分</w:t>
            </w:r>
            <w:r>
              <w:br/>
            </w:r>
            <w:r>
              <w:rPr>
                <w:rFonts w:ascii="Arial" w:hAnsi="Arial" w:eastAsia="Microsoft YaHei" w:cs="Arial"/>
                <w:b/>
                <w:i w:val="0"/>
                <w:color w:val="1F2937"/>
                <w:sz w:val="20"/>
              </w:rPr>
              <w:t>关键依据：</w:t>
            </w:r>
            <w:r>
              <w:rPr>
                <w:rFonts w:ascii="Arial" w:hAnsi="Arial" w:eastAsia="Microsoft YaHei" w:cs="Arial"/>
                <w:b w:val="0"/>
                <w:i w:val="0"/>
                <w:color w:val="1F2937"/>
                <w:sz w:val="20"/>
              </w:rPr>
              <w:t>E1、E2</w:t>
            </w:r>
            <w:r>
              <w:br/>
            </w:r>
            <w:r>
              <w:rPr>
                <w:rFonts w:ascii="Arial" w:hAnsi="Arial" w:eastAsia="Microsoft YaHei" w:cs="Arial"/>
                <w:b/>
                <w:i w:val="0"/>
                <w:color w:val="1F2937"/>
                <w:sz w:val="20"/>
              </w:rPr>
              <w:t>边界：</w:t>
            </w:r>
            <w:r>
              <w:rPr>
                <w:rFonts w:ascii="Arial" w:hAnsi="Arial" w:eastAsia="Microsoft YaHei" w:cs="Arial"/>
                <w:b w:val="0"/>
                <w:i w:val="0"/>
                <w:color w:val="1F2937"/>
                <w:sz w:val="20"/>
              </w:rPr>
              <w:t>Supports method design, not universal performance superiority.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9FAFB"/>
            <w:tcBorders>
              <w:top w:val="nil"/>
              <w:left w:val="single" w:sz="18" w:color="9CA3AF"/>
              <w:bottom w:val="nil"/>
              <w:right w:val="nil"/>
            </w:tcBorders>
          </w:tcPr>
          <w:p>
            <w:pPr>
              <w:keepNext w:val="0"/>
              <w:pageBreakBefore w:val="0"/>
              <w:spacing w:line="312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4B5563"/>
                <w:sz w:val="19"/>
              </w:rPr>
              <w:t>证据审计摘要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4B5563"/>
                <w:sz w:val="19"/>
              </w:rPr>
              <w:t>整体论文内部证据：有一定支持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12E81"/>
          <w:sz w:val="30"/>
        </w:rPr>
        <w:t>05 批判性评价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4338CA"/>
          <w:sz w:val="25"/>
        </w:rPr>
        <w:t>最需要警惕的核心缺陷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FF7ED"/>
            <w:tcBorders>
              <w:top w:val="nil"/>
              <w:left w:val="single" w:sz="18" w:color="EA580C"/>
              <w:bottom w:val="nil"/>
              <w:right w:val="nil"/>
            </w:tcBorders>
          </w:tcPr>
          <w:p>
            <w:pPr>
              <w:keepNext w:val="0"/>
              <w:pageBreakBefore w:val="0"/>
              <w:spacing w:line="300" w:lineRule="auto" w:before="0" w:after="40"/>
              <w:ind w:left="0" w:right="0" w:firstLine="0"/>
              <w:jc w:val="left"/>
              <w:widowControl/>
            </w:pPr>
            <w:bookmarkStart w:id="1581486602" w:name="weakness_1"/>
            <w:r/>
            <w:bookmarkEnd w:id="1581486602"/>
            <w:r>
              <w:rPr>
                <w:rFonts w:ascii="Arial" w:hAnsi="Arial" w:eastAsia="Microsoft YaHei" w:cs="Arial"/>
                <w:b/>
                <w:i w:val="0"/>
                <w:color w:val="7C2D12"/>
                <w:sz w:val="20"/>
              </w:rPr>
              <w:t>核心缺陷 1｜Sensitivity to uninformative local descriptors</w:t>
              <w:br/>
            </w:r>
            <w:r>
              <w:rPr>
                <w:rFonts w:ascii="Arial" w:hAnsi="Arial" w:eastAsia="Microsoft YaHei" w:cs="Arial"/>
                <w:b/>
                <w:i w:val="0"/>
                <w:color w:val="7C2D12"/>
                <w:sz w:val="20"/>
              </w:rPr>
              <w:t>缺陷是什么：</w:t>
            </w:r>
            <w:r>
              <w:rPr>
                <w:rFonts w:ascii="Arial" w:hAnsi="Arial" w:eastAsia="Microsoft YaHei" w:cs="Arial"/>
                <w:b w:val="0"/>
                <w:i w:val="0"/>
                <w:color w:val="7C2D12"/>
                <w:sz w:val="20"/>
              </w:rPr>
              <w:t>The class score aggregates many local nearest-neighbor matches without evidence in this synthetic fixture that every descriptor is equally discriminative.</w:t>
            </w:r>
            <w:r>
              <w:br/>
            </w:r>
            <w:r>
              <w:rPr>
                <w:rFonts w:ascii="Arial" w:hAnsi="Arial" w:eastAsia="Microsoft YaHei" w:cs="Arial"/>
                <w:b/>
                <w:i w:val="0"/>
                <w:color w:val="7C2D12"/>
                <w:sz w:val="20"/>
              </w:rPr>
              <w:t>为什么重要：</w:t>
            </w:r>
            <w:r>
              <w:rPr>
                <w:rFonts w:ascii="Arial" w:hAnsi="Arial" w:eastAsia="Microsoft YaHei" w:cs="Arial"/>
                <w:b w:val="0"/>
                <w:i w:val="0"/>
                <w:color w:val="7C2D12"/>
                <w:sz w:val="20"/>
              </w:rPr>
              <w:t>If background or weak descriptors receive high-similarity neighbors, they can contribute misleading evidence to the final class score.</w:t>
            </w:r>
            <w:r>
              <w:br/>
            </w:r>
            <w:r>
              <w:rPr>
                <w:rFonts w:ascii="Arial" w:hAnsi="Arial" w:eastAsia="Microsoft YaHei" w:cs="Arial"/>
                <w:b/>
                <w:i w:val="0"/>
                <w:color w:val="7C2D12"/>
                <w:sz w:val="20"/>
              </w:rPr>
              <w:t>潜在影响：</w:t>
            </w:r>
            <w:r>
              <w:rPr>
                <w:rFonts w:ascii="Arial" w:hAnsi="Arial" w:eastAsia="Microsoft YaHei" w:cs="Arial"/>
                <w:b w:val="0"/>
                <w:i w:val="0"/>
                <w:color w:val="7C2D12"/>
                <w:sz w:val="20"/>
              </w:rPr>
              <w:t>The central claim that local matching improves classification may weaken under clutter, domain shift, or fine-grained ambiguity.</w:t>
            </w:r>
            <w:r>
              <w:br/>
            </w:r>
            <w:r>
              <w:rPr>
                <w:rFonts w:ascii="Arial" w:hAnsi="Arial" w:eastAsia="Microsoft YaHei" w:cs="Arial"/>
                <w:b/>
                <w:i w:val="0"/>
                <w:color w:val="7C2D12"/>
                <w:sz w:val="20"/>
              </w:rPr>
              <w:t>如何验证：</w:t>
            </w:r>
            <w:r>
              <w:rPr>
                <w:rFonts w:ascii="Arial" w:hAnsi="Arial" w:eastAsia="Microsoft YaHei" w:cs="Arial"/>
                <w:b w:val="0"/>
                <w:i w:val="0"/>
                <w:color w:val="7C2D12"/>
                <w:sz w:val="20"/>
              </w:rPr>
              <w:t>Inject descriptor noise or mask foreground/background regions while holding the backbone and support set fixed, then measure class-score and accuracy sensitivity.</w:t>
            </w:r>
            <w:r>
              <w:br/>
            </w:r>
            <w:r>
              <w:rPr>
                <w:rFonts w:ascii="Arial" w:hAnsi="Arial" w:eastAsia="Microsoft YaHei" w:cs="Arial"/>
                <w:b/>
                <w:i w:val="0"/>
                <w:color w:val="7C2D12"/>
                <w:sz w:val="20"/>
              </w:rPr>
              <w:t>依据：</w:t>
            </w:r>
            <w:r>
              <w:rPr>
                <w:rFonts w:ascii="Arial" w:hAnsi="Arial" w:eastAsia="Microsoft YaHei" w:cs="Arial"/>
                <w:b w:val="0"/>
                <w:i w:val="0"/>
                <w:color w:val="7C2D12"/>
                <w:sz w:val="20"/>
              </w:rPr>
              <w:t>E2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4338CA"/>
          <w:sz w:val="25"/>
        </w:rPr>
        <w:t>最脆弱的假设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5F3FF"/>
            <w:tcBorders>
              <w:top w:val="nil"/>
              <w:left w:val="single" w:sz="18" w:color="7C3AED"/>
              <w:bottom w:val="nil"/>
              <w:right w:val="nil"/>
            </w:tcBorders>
          </w:tcPr>
          <w:p>
            <w:pPr>
              <w:keepNext w:val="0"/>
              <w:pageBreakBefore w:val="0"/>
              <w:spacing w:line="300" w:lineRule="auto" w:before="0" w:after="40"/>
              <w:ind w:left="0" w:right="0" w:firstLine="0"/>
              <w:jc w:val="left"/>
              <w:widowControl/>
            </w:pPr>
            <w:r/>
            <w:r>
              <w:rPr>
                <w:rFonts w:ascii="Arial" w:hAnsi="Arial" w:eastAsia="Microsoft YaHei" w:cs="Arial"/>
                <w:b/>
                <w:i w:val="0"/>
                <w:color w:val="374151"/>
                <w:sz w:val="20"/>
              </w:rPr>
              <w:t>脆弱假设 A1</w:t>
              <w:br/>
            </w:r>
            <w:r>
              <w:rPr>
                <w:rFonts w:ascii="Arial" w:hAnsi="Arial" w:eastAsia="Microsoft YaHei" w:cs="Arial"/>
                <w:b w:val="0"/>
                <w:i w:val="0"/>
                <w:color w:val="374151"/>
                <w:sz w:val="20"/>
              </w:rPr>
              <w:t>Local descriptor matches are sufficiently discriminative.</w:t>
            </w:r>
            <w:r>
              <w:br/>
            </w:r>
            <w:r>
              <w:rPr>
                <w:rFonts w:ascii="Arial" w:hAnsi="Arial" w:eastAsia="Microsoft YaHei" w:cs="Arial"/>
                <w:b/>
                <w:i w:val="0"/>
                <w:color w:val="374151"/>
                <w:sz w:val="20"/>
              </w:rPr>
              <w:t>若不成立：</w:t>
            </w:r>
            <w:r>
              <w:rPr>
                <w:rFonts w:ascii="Arial" w:hAnsi="Arial" w:eastAsia="Microsoft YaHei" w:cs="Arial"/>
                <w:b w:val="0"/>
                <w:i w:val="0"/>
                <w:color w:val="374151"/>
                <w:sz w:val="20"/>
              </w:rPr>
              <w:t>Noisy descriptors could dominate class similarity.</w:t>
            </w:r>
            <w:r>
              <w:br/>
            </w:r>
            <w:r>
              <w:rPr>
                <w:rFonts w:ascii="Arial" w:hAnsi="Arial" w:eastAsia="Microsoft YaHei" w:cs="Arial"/>
                <w:b/>
                <w:i w:val="0"/>
                <w:color w:val="374151"/>
                <w:sz w:val="20"/>
              </w:rPr>
              <w:t>如何压力测试：</w:t>
            </w:r>
            <w:r>
              <w:rPr>
                <w:rFonts w:ascii="Arial" w:hAnsi="Arial" w:eastAsia="Microsoft YaHei" w:cs="Arial"/>
                <w:b w:val="0"/>
                <w:i w:val="0"/>
                <w:color w:val="374151"/>
                <w:sz w:val="20"/>
              </w:rPr>
              <w:t>Inject descriptor noise or mask high-similarity local regions and measure class-score sensitivity.</w:t>
            </w:r>
            <w:r>
              <w:br/>
            </w:r>
            <w:r>
              <w:rPr>
                <w:rFonts w:ascii="Arial" w:hAnsi="Arial" w:eastAsia="Microsoft YaHei" w:cs="Arial"/>
                <w:b/>
                <w:i w:val="0"/>
                <w:color w:val="374151"/>
                <w:sz w:val="20"/>
              </w:rPr>
              <w:t>依据：</w:t>
            </w:r>
            <w:r>
              <w:rPr>
                <w:rFonts w:ascii="Arial" w:hAnsi="Arial" w:eastAsia="Microsoft YaHei" w:cs="Arial"/>
                <w:b w:val="0"/>
                <w:i w:val="0"/>
                <w:color w:val="374151"/>
                <w:sz w:val="20"/>
              </w:rPr>
              <w:t>E2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4338CA"/>
          <w:sz w:val="25"/>
        </w:rPr>
        <w:t>审稿人最可能追问</w:t>
      </w:r>
    </w:p>
    <w:p>
      <w:pPr>
        <w:pStyle w:val="ListNumber"/>
        <w:keepNext w:val="0"/>
        <w:pageBreakBefore w:val="0"/>
        <w:spacing w:line="348" w:lineRule="auto" w:before="0" w:after="100"/>
        <w:ind w:left="0" w:right="0" w:firstLine="0"/>
        <w:jc w:val="both"/>
        <w:widowControl/>
      </w:pPr>
      <w:r>
        <w:rPr>
          <w:rFonts w:ascii="Times New Roman" w:hAnsi="Times New Roman" w:eastAsia="SimSun" w:cs="Times New Roman"/>
          <w:b w:val="0"/>
          <w:i w:val="0"/>
          <w:color w:val="111827"/>
          <w:sz w:val="21"/>
        </w:rPr>
        <w:t>How sensitive is performance to descriptor noise?</w:t>
      </w: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12E81"/>
          <w:sz w:val="30"/>
        </w:rPr>
        <w:t>06 开放问题与精读建议</w:t>
      </w: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4338CA"/>
          <w:sz w:val="25"/>
        </w:rPr>
        <w:t>最值得继续追问的问题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5F3FF"/>
            <w:tcBorders>
              <w:top w:val="nil"/>
              <w:left w:val="single" w:sz="18" w:color="7C3AED"/>
              <w:bottom w:val="nil"/>
              <w:right w:val="nil"/>
            </w:tcBorders>
          </w:tcPr>
          <w:p>
            <w:pPr>
              <w:keepNext w:val="0"/>
              <w:pageBreakBefore w:val="0"/>
              <w:spacing w:line="300" w:lineRule="auto" w:before="0" w:after="40"/>
              <w:ind w:left="0" w:right="0" w:firstLine="0"/>
              <w:jc w:val="left"/>
              <w:widowControl/>
            </w:pPr>
            <w:r/>
            <w:r>
              <w:rPr>
                <w:rFonts w:ascii="Arial" w:hAnsi="Arial" w:eastAsia="Microsoft YaHei" w:cs="Arial"/>
                <w:b/>
                <w:i w:val="0"/>
                <w:color w:val="1F2937"/>
                <w:sz w:val="21"/>
              </w:rPr>
              <w:t>Open Question 1</w:t>
              <w:br/>
            </w:r>
            <w:r>
              <w:rPr>
                <w:rFonts w:ascii="Arial" w:hAnsi="Arial" w:eastAsia="Microsoft YaHei" w:cs="Arial"/>
                <w:b w:val="0"/>
                <w:i w:val="0"/>
                <w:color w:val="1F2937"/>
                <w:sz w:val="21"/>
              </w:rPr>
              <w:t>问题：How sensitive is local matching to uninformative descriptors?</w:t>
            </w:r>
            <w:r>
              <w:br/>
            </w:r>
            <w:r>
              <w:rPr>
                <w:rFonts w:ascii="Arial" w:hAnsi="Arial" w:eastAsia="Microsoft YaHei" w:cs="Arial"/>
                <w:b/>
                <w:i w:val="0"/>
                <w:color w:val="1F2937"/>
                <w:sz w:val="21"/>
              </w:rPr>
              <w:t>为什么重要：</w:t>
            </w:r>
            <w:r>
              <w:rPr>
                <w:rFonts w:ascii="Arial" w:hAnsi="Arial" w:eastAsia="Microsoft YaHei" w:cs="Arial"/>
                <w:b w:val="0"/>
                <w:i w:val="0"/>
                <w:color w:val="1F2937"/>
                <w:sz w:val="21"/>
              </w:rPr>
              <w:t>The core similarity aggregates many local matches.</w:t>
            </w:r>
            <w:r>
              <w:br/>
            </w:r>
            <w:r>
              <w:rPr>
                <w:rFonts w:ascii="Arial" w:hAnsi="Arial" w:eastAsia="Microsoft YaHei" w:cs="Arial"/>
                <w:b/>
                <w:i w:val="0"/>
                <w:color w:val="1F2937"/>
                <w:sz w:val="21"/>
              </w:rPr>
              <w:t>建议如何验证：</w:t>
            </w:r>
            <w:r>
              <w:rPr>
                <w:rFonts w:ascii="Arial" w:hAnsi="Arial" w:eastAsia="Microsoft YaHei" w:cs="Arial"/>
                <w:b w:val="0"/>
                <w:i w:val="0"/>
                <w:color w:val="1F2937"/>
                <w:sz w:val="21"/>
              </w:rPr>
              <w:t>Stress-test descriptor masking, weighting, and noise injection while holding the backbone fixed.</w:t>
            </w:r>
            <w:r>
              <w:br/>
            </w:r>
            <w:r>
              <w:rPr>
                <w:rFonts w:ascii="Arial" w:hAnsi="Arial" w:eastAsia="Microsoft YaHei" w:cs="Arial"/>
                <w:b/>
                <w:i w:val="0"/>
                <w:color w:val="1F2937"/>
                <w:sz w:val="21"/>
              </w:rPr>
              <w:t>依据：</w:t>
            </w:r>
            <w:r>
              <w:rPr>
                <w:rFonts w:ascii="Arial" w:hAnsi="Arial" w:eastAsia="Microsoft YaHei" w:cs="Arial"/>
                <w:b w:val="0"/>
                <w:i w:val="0"/>
                <w:color w:val="1F2937"/>
                <w:sz w:val="21"/>
              </w:rPr>
              <w:t>E2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4338CA"/>
          <w:sz w:val="25"/>
        </w:rPr>
        <w:t>后续研究方向（分析推导）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5F3FF"/>
            <w:tcBorders>
              <w:top w:val="nil"/>
              <w:left w:val="single" w:sz="18" w:color="7C3AED"/>
              <w:bottom w:val="nil"/>
              <w:right w:val="nil"/>
            </w:tcBorders>
          </w:tcPr>
          <w:p>
            <w:pPr>
              <w:keepNext w:val="0"/>
              <w:pageBreakBefore w:val="0"/>
              <w:spacing w:line="300" w:lineRule="auto" w:before="0" w:after="40"/>
              <w:ind w:left="0" w:right="0" w:firstLine="0"/>
              <w:jc w:val="left"/>
              <w:widowControl/>
            </w:pPr>
            <w:bookmarkStart w:id="1949376956" w:name="research_direction_1"/>
            <w:r/>
            <w:bookmarkEnd w:id="1949376956"/>
            <w:r>
              <w:rPr>
                <w:rFonts w:ascii="Times New Roman" w:hAnsi="Times New Roman" w:eastAsia="SimSun" w:cs="Times New Roman"/>
                <w:b/>
                <w:i w:val="0"/>
                <w:color w:val="134E4A"/>
                <w:sz w:val="20"/>
              </w:rPr>
              <w:t>方向 1｜Reliability-aware local matching</w:t>
              <w:br/>
            </w:r>
            <w:r>
              <w:rPr>
                <w:rFonts w:ascii="Times New Roman" w:hAnsi="Times New Roman" w:eastAsia="SimSun" w:cs="Times New Roman"/>
                <w:b/>
                <w:i w:val="0"/>
                <w:color w:val="134E4A"/>
                <w:sz w:val="20"/>
              </w:rPr>
              <w:t>目标问题：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34E4A"/>
                <w:sz w:val="20"/>
              </w:rPr>
              <w:t>Determine whether all local descriptors should contribute equally to image-to-class similarity when some descriptors are background or weakly discriminative.</w:t>
            </w:r>
            <w:r>
              <w:br/>
            </w:r>
            <w:r>
              <w:rPr>
                <w:rFonts w:ascii="Times New Roman" w:hAnsi="Times New Roman" w:eastAsia="SimSun" w:cs="Times New Roman"/>
                <w:b/>
                <w:i w:val="0"/>
                <w:color w:val="134E4A"/>
                <w:sz w:val="20"/>
              </w:rPr>
              <w:t>为什么值得继续：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34E4A"/>
                <w:sz w:val="20"/>
              </w:rPr>
              <w:t>The method aggregates many local matches and the core weakness concerns sensitivity to uninformative descriptors.</w:t>
            </w:r>
            <w:r>
              <w:br/>
            </w:r>
            <w:r>
              <w:rPr>
                <w:rFonts w:ascii="Times New Roman" w:hAnsi="Times New Roman" w:eastAsia="SimSun" w:cs="Times New Roman"/>
                <w:b/>
                <w:i w:val="0"/>
                <w:color w:val="134E4A"/>
                <w:sz w:val="20"/>
              </w:rPr>
              <w:t>优先验证：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34E4A"/>
                <w:sz w:val="20"/>
              </w:rPr>
              <w:t>Measure descriptor reliability, class-score sensitivity, and robustness under controlled background/noise perturbations before designing a new mechanism.</w:t>
            </w:r>
            <w:r>
              <w:br/>
            </w:r>
            <w:r>
              <w:rPr>
                <w:rFonts w:ascii="Times New Roman" w:hAnsi="Times New Roman" w:eastAsia="SimSun" w:cs="Times New Roman"/>
                <w:b/>
                <w:i w:val="0"/>
                <w:color w:val="134E4A"/>
                <w:sz w:val="20"/>
              </w:rPr>
              <w:t>依据：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134E4A"/>
                <w:sz w:val="20"/>
              </w:rPr>
              <w:t>E2</w:t>
            </w:r>
          </w:p>
        </w:tc>
      </w:tr>
    </w:tbl>
    <w:p>
      <w:pPr>
        <w:spacing w:after="0"/>
      </w:pPr>
    </w:p>
    <w:p>
      <w:pPr>
        <w:pStyle w:val="Heading2"/>
        <w:keepNext/>
        <w:pageBreakBefore w:val="0"/>
        <w:spacing w:line="276" w:lineRule="auto" w:before="240" w:after="12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4338CA"/>
          <w:sz w:val="25"/>
        </w:rPr>
        <w:t>20 分钟回原文路线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7"/>
        <w:gridCol w:w="1792"/>
        <w:gridCol w:w="2598"/>
        <w:gridCol w:w="2956"/>
        <w:gridCol w:w="896"/>
      </w:tblGrid>
      <w:tr>
        <w:trPr>
          <w:cantSplit/>
          <w:tblHeader w:val="true"/>
        </w:trPr>
        <w:tc>
          <w:tcPr>
            <w:tcW w:type="dxa" w:w="71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时间</w:t>
            </w:r>
          </w:p>
        </w:tc>
        <w:tc>
          <w:tcPr>
            <w:tcW w:type="dxa" w:w="179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原文位置</w:t>
            </w:r>
          </w:p>
        </w:tc>
        <w:tc>
          <w:tcPr>
            <w:tcW w:type="dxa" w:w="259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为什么看</w:t>
            </w:r>
          </w:p>
        </w:tc>
        <w:tc>
          <w:tcPr>
            <w:tcW w:type="dxa" w:w="2956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看完应得到</w:t>
            </w:r>
          </w:p>
        </w:tc>
        <w:tc>
          <w:tcPr>
            <w:tcW w:type="dxa" w:w="896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EEF4FB"/>
            <w:tcBorders>
              <w:bottom w:val="single" w:sz="4" w:color="D1D5DB"/>
            </w:tcBorders>
          </w:tcPr>
          <w:p>
            <w:pPr>
              <w:keepNext/>
              <w:pageBreakBefore w:val="0"/>
              <w:spacing w:line="264" w:lineRule="auto" w:before="0" w:after="0"/>
              <w:ind w:left="0" w:right="0" w:firstLine="0"/>
              <w:jc w:val="center"/>
              <w:widowControl/>
            </w:pPr>
            <w:r/>
            <w:r>
              <w:rPr>
                <w:rFonts w:ascii="Times New Roman" w:hAnsi="Times New Roman" w:eastAsia="Microsoft YaHei" w:cs="Times New Roman"/>
                <w:b/>
                <w:i w:val="0"/>
                <w:color w:val="111827"/>
                <w:sz w:val="19"/>
              </w:rPr>
              <w:t>依据</w:t>
            </w:r>
          </w:p>
        </w:tc>
      </w:tr>
      <w:tr>
        <w:trPr>
          <w:cantSplit/>
        </w:trPr>
        <w:tc>
          <w:tcPr>
            <w:tcW w:type="dxa" w:w="71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8 min</w:t>
            </w:r>
          </w:p>
        </w:tc>
        <w:tc>
          <w:tcPr>
            <w:tcW w:type="dxa" w:w="179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Abstract</w:t>
            </w:r>
          </w:p>
        </w:tc>
        <w:tc>
          <w:tcPr>
            <w:tcW w:type="dxa" w:w="259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Establish the claimed problem and high-level method change.</w:t>
            </w:r>
          </w:p>
        </w:tc>
        <w:tc>
          <w:tcPr>
            <w:tcW w:type="dxa" w:w="2956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Understand what the paper says is different.</w:t>
            </w:r>
          </w:p>
        </w:tc>
        <w:tc>
          <w:tcPr>
            <w:tcW w:type="dxa" w:w="896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E1</w:t>
            </w:r>
          </w:p>
        </w:tc>
      </w:tr>
      <w:tr>
        <w:trPr>
          <w:cantSplit/>
        </w:trPr>
        <w:tc>
          <w:tcPr>
            <w:tcW w:type="dxa" w:w="717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12 min</w:t>
            </w:r>
          </w:p>
        </w:tc>
        <w:tc>
          <w:tcPr>
            <w:tcW w:type="dxa" w:w="1792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Method</w:t>
            </w:r>
          </w:p>
        </w:tc>
        <w:tc>
          <w:tcPr>
            <w:tcW w:type="dxa" w:w="2598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Inspect the descriptor-level matching mechanism.</w:t>
            </w:r>
          </w:p>
        </w:tc>
        <w:tc>
          <w:tcPr>
            <w:tcW w:type="dxa" w:w="2956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Understand how query and support descriptors are compared.</w:t>
            </w:r>
          </w:p>
        </w:tc>
        <w:tc>
          <w:tcPr>
            <w:tcW w:type="dxa" w:w="896"/>
            <w:vAlign w:val="center"/>
            <w:tcMar>
              <w:top w:w="79" w:type="dxa"/>
              <w:start w:w="79" w:type="dxa"/>
              <w:bottom w:w="79" w:type="dxa"/>
              <w:end w:w="79" w:type="dxa"/>
            </w:tcMar>
            <w:shd w:fill="F8FAFC"/>
            <w:tcBorders>
              <w:bottom w:val="single" w:sz="4" w:color="D1D5DB"/>
            </w:tcBorders>
          </w:tcPr>
          <w:p>
            <w:pPr>
              <w:keepNext w:val="0"/>
              <w:pageBreakBefore w:val="0"/>
              <w:spacing w:line="276" w:lineRule="auto" w:before="0" w:after="0"/>
              <w:ind w:left="0" w:right="0" w:firstLine="0"/>
              <w:jc w:val="left"/>
              <w:widowControl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color w:val="111827"/>
                <w:sz w:val="19"/>
              </w:rPr>
              <w:t>E2</w:t>
            </w:r>
          </w:p>
        </w:tc>
      </w:tr>
    </w:tbl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12E81"/>
          <w:sz w:val="30"/>
        </w:rPr>
        <w:t>材料边界与说明</w:t>
      </w:r>
    </w:p>
    <w:p>
      <w:pPr>
        <w:pStyle w:val="ListBullet"/>
        <w:keepNext w:val="0"/>
        <w:pageBreakBefore w:val="0"/>
        <w:spacing w:line="312" w:lineRule="auto" w:before="0" w:after="0"/>
        <w:ind w:left="0" w:right="0" w:firstLine="0"/>
        <w:jc w:val="left"/>
        <w:widowControl/>
      </w:pPr>
      <w:r>
        <w:rPr>
          <w:rFonts w:ascii="Times New Roman" w:hAnsi="Times New Roman" w:eastAsia="SimSun" w:cs="Times New Roman"/>
          <w:b w:val="0"/>
          <w:i w:val="0"/>
          <w:color w:val="4B5563"/>
          <w:sz w:val="19"/>
        </w:rPr>
        <w:t>This example is synthetic and demonstrates schema structure only.</w:t>
      </w:r>
    </w:p>
    <w:p>
      <w:pPr>
        <w:pStyle w:val="Heading1"/>
        <w:keepNext/>
        <w:pageBreakBefore w:val="0"/>
        <w:spacing w:line="264" w:lineRule="auto" w:before="320" w:after="160"/>
        <w:ind w:left="0" w:right="0" w:firstLine="0"/>
        <w:jc w:val="left"/>
        <w:widowControl/>
      </w:pPr>
      <w:r>
        <w:rPr>
          <w:rFonts w:ascii="Arial" w:hAnsi="Arial" w:eastAsia="Microsoft YaHei" w:cs="Arial"/>
          <w:b/>
          <w:i w:val="0"/>
          <w:color w:val="312E81"/>
          <w:sz w:val="30"/>
        </w:rPr>
        <w:t>附录：证据索引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0F9FF"/>
            <w:tcBorders>
              <w:top w:val="nil"/>
              <w:left w:val="single" w:sz="18" w:color="0284C7"/>
              <w:bottom w:val="nil"/>
              <w:right w:val="nil"/>
            </w:tcBorders>
          </w:tcPr>
          <w:p>
            <w:pPr>
              <w:keepNext w:val="0"/>
              <w:pageBreakBefore w:val="0"/>
              <w:spacing w:line="300" w:lineRule="auto" w:before="0" w:after="40"/>
              <w:ind w:left="0" w:right="0" w:firstLine="0"/>
              <w:jc w:val="left"/>
              <w:widowControl/>
            </w:pPr>
            <w:bookmarkStart w:id="675349345" w:name="evidence_ev_001"/>
            <w:r/>
            <w:bookmarkEnd w:id="675349345"/>
            <w:r>
              <w:rPr>
                <w:rFonts w:ascii="Times New Roman" w:hAnsi="Times New Roman" w:eastAsia="SimSun" w:cs="Times New Roman"/>
                <w:b/>
                <w:i w:val="0"/>
                <w:color w:val="475569"/>
                <w:sz w:val="18"/>
              </w:rPr>
              <w:t>E1 · 原文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475569"/>
                <w:sz w:val="18"/>
              </w:rPr>
              <w:t>We propose a local matching method for few-shot classification.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475569"/>
                <w:sz w:val="18"/>
              </w:rPr>
              <w:br/>
            </w:r>
            <w:r>
              <w:rPr>
                <w:rFonts w:ascii="Times New Roman" w:hAnsi="Times New Roman" w:eastAsia="SimSun" w:cs="Times New Roman"/>
                <w:b w:val="0"/>
                <w:i/>
                <w:color w:val="475569"/>
                <w:sz w:val="18"/>
              </w:rPr>
              <w:t>位置: Abstract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475569"/>
                <w:sz w:val="18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475569"/>
                <w:sz w:val="18"/>
              </w:rPr>
              <w:t>材料类型: 摘要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475569"/>
                <w:sz w:val="18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475569"/>
                <w:sz w:val="18"/>
              </w:rPr>
              <w:t>证据性质: 问题界定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475569"/>
                <w:sz w:val="18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475569"/>
                <w:sz w:val="18"/>
              </w:rPr>
              <w:t>支持: Claim 1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958"/>
      </w:tblGrid>
      <w:tr>
        <w:trPr>
          <w:cantSplit/>
        </w:trPr>
        <w:tc>
          <w:tcPr>
            <w:tcW w:type="dxa" w:w="8958"/>
            <w:tcMar>
              <w:top w:w="113" w:type="dxa"/>
              <w:start w:w="136" w:type="dxa"/>
              <w:bottom w:w="113" w:type="dxa"/>
              <w:end w:w="136" w:type="dxa"/>
            </w:tcMar>
            <w:shd w:fill="F0F9FF"/>
            <w:tcBorders>
              <w:top w:val="nil"/>
              <w:left w:val="single" w:sz="18" w:color="0284C7"/>
              <w:bottom w:val="nil"/>
              <w:right w:val="nil"/>
            </w:tcBorders>
          </w:tcPr>
          <w:p>
            <w:pPr>
              <w:keepNext w:val="0"/>
              <w:pageBreakBefore w:val="0"/>
              <w:spacing w:line="300" w:lineRule="auto" w:before="0" w:after="40"/>
              <w:ind w:left="0" w:right="0" w:firstLine="0"/>
              <w:jc w:val="left"/>
              <w:widowControl/>
            </w:pPr>
            <w:bookmarkStart w:id="546956643" w:name="evidence_ev_002"/>
            <w:r/>
            <w:bookmarkEnd w:id="546956643"/>
            <w:r>
              <w:rPr>
                <w:rFonts w:ascii="Times New Roman" w:hAnsi="Times New Roman" w:eastAsia="SimSun" w:cs="Times New Roman"/>
                <w:b/>
                <w:i w:val="0"/>
                <w:color w:val="475569"/>
                <w:sz w:val="18"/>
              </w:rPr>
              <w:t>E2 · 原文</w:t>
              <w:br/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475569"/>
                <w:sz w:val="18"/>
              </w:rPr>
              <w:t>Each query descriptor is compared with support descriptors and the similarities are aggregated.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475569"/>
                <w:sz w:val="18"/>
              </w:rPr>
              <w:br/>
            </w:r>
            <w:r>
              <w:rPr>
                <w:rFonts w:ascii="Times New Roman" w:hAnsi="Times New Roman" w:eastAsia="SimSun" w:cs="Times New Roman"/>
                <w:b w:val="0"/>
                <w:i/>
                <w:color w:val="475569"/>
                <w:sz w:val="18"/>
              </w:rPr>
              <w:t>位置: Method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475569"/>
                <w:sz w:val="18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475569"/>
                <w:sz w:val="18"/>
              </w:rPr>
              <w:t>材料类型: 正文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475569"/>
                <w:sz w:val="18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475569"/>
                <w:sz w:val="18"/>
              </w:rPr>
              <w:t>证据性质: 方法定义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475569"/>
                <w:sz w:val="18"/>
              </w:rPr>
              <w:t xml:space="preserve"> · </w:t>
            </w:r>
            <w:r>
              <w:rPr>
                <w:rFonts w:ascii="Times New Roman" w:hAnsi="Times New Roman" w:eastAsia="SimSun" w:cs="Times New Roman"/>
                <w:b w:val="0"/>
                <w:i/>
                <w:color w:val="475569"/>
                <w:sz w:val="18"/>
              </w:rPr>
              <w:t>支持: Claim 1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pageBreakBefore w:val="0"/>
      <w:spacing w:line="312" w:lineRule="auto" w:before="0" w:after="0"/>
      <w:ind w:left="0" w:right="0" w:firstLine="0"/>
      <w:jc w:val="left"/>
      <w:widowControl/>
    </w:pPr>
    <w:r>
      <w:rPr>
        <w:rFonts w:ascii="Times New Roman" w:hAnsi="Times New Roman" w:eastAsia="SimSun" w:cs="Times New Roman"/>
        <w:b w:val="0"/>
        <w:i w:val="0"/>
        <w:color w:val="4B5563"/>
        <w:sz w:val="19"/>
      </w:rPr>
      <w:t>Scholar AI</w:t>
    </w:r>
    <w:r>
      <w:rPr>
        <w:rFonts w:ascii="Times New Roman" w:hAnsi="Times New Roman" w:eastAsia="SimSun" w:cs="Times New Roman"/>
        <w:b w:val="0"/>
        <w:i w:val="0"/>
        <w:color w:val="4B5563"/>
        <w:sz w:val="19"/>
      </w:rPr>
      <w:t xml:space="preserve"> · </w:t>
    </w:r>
    <w:r>
      <w:rPr>
        <w:rFonts w:ascii="Times New Roman" w:hAnsi="Times New Roman" w:eastAsia="SimSun" w:cs="Times New Roman"/>
        <w:b w:val="0"/>
        <w:i w:val="0"/>
        <w:color w:val="4B5563"/>
        <w:sz w:val="19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pageBreakBefore w:val="0"/>
      <w:spacing w:line="312" w:lineRule="auto" w:before="0" w:after="0"/>
      <w:ind w:left="0" w:right="0" w:firstLine="0"/>
      <w:jc w:val="left"/>
      <w:widowControl/>
    </w:pPr>
    <w:r>
      <w:rPr>
        <w:rFonts w:ascii="Times New Roman" w:hAnsi="Times New Roman" w:eastAsia="SimSun" w:cs="Times New Roman"/>
        <w:b w:val="0"/>
        <w:i w:val="0"/>
        <w:color w:val="4B5563"/>
        <w:sz w:val="19"/>
      </w:rPr>
      <w:t>Scholar AI · AI 论文精读报告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pageBreakBefore w:val="0"/>
      <w:spacing w:line="348" w:lineRule="auto" w:before="0" w:after="100"/>
      <w:ind w:left="0" w:right="0" w:firstLine="420"/>
      <w:jc w:val="both"/>
      <w:widowControl/>
    </w:pPr>
    <w:rPr>
      <w:rFonts w:ascii="Times New Roman" w:hAnsi="Times New Roman" w:eastAsia="SimSun"/>
      <w:b w:val="0"/>
      <w:i w:val="0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20" w:after="160" w:line="264" w:lineRule="auto"/>
      <w:ind w:left="0" w:right="0" w:firstLine="0"/>
      <w:jc w:val="left"/>
      <w:outlineLvl w:val="0"/>
      <w:widowControl/>
    </w:pPr>
    <w:rPr>
      <w:rFonts w:asciiTheme="majorHAnsi" w:eastAsiaTheme="majorEastAsia" w:hAnsiTheme="majorHAnsi" w:cstheme="majorBidi" w:ascii="Arial" w:hAnsi="Arial" w:eastAsia="Microsoft YaHei"/>
      <w:b/>
      <w:bCs/>
      <w:i w:val="0"/>
      <w:color w:val="312E8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20" w:line="276" w:lineRule="auto"/>
      <w:ind w:left="0" w:right="0" w:firstLine="0"/>
      <w:jc w:val="left"/>
      <w:outlineLvl w:val="1"/>
      <w:widowControl/>
    </w:pPr>
    <w:rPr>
      <w:rFonts w:asciiTheme="majorHAnsi" w:eastAsiaTheme="majorEastAsia" w:hAnsiTheme="majorHAnsi" w:cstheme="majorBidi" w:ascii="Arial" w:hAnsi="Arial" w:eastAsia="Microsoft YaHei"/>
      <w:b/>
      <w:bCs/>
      <w:i w:val="0"/>
      <w:color w:val="4338C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60" w:after="80" w:line="276" w:lineRule="auto"/>
      <w:ind w:left="0" w:right="0" w:firstLine="0"/>
      <w:jc w:val="left"/>
      <w:outlineLvl w:val="2"/>
      <w:widowControl/>
    </w:pPr>
    <w:rPr>
      <w:rFonts w:asciiTheme="majorHAnsi" w:eastAsiaTheme="majorEastAsia" w:hAnsiTheme="majorHAnsi" w:cstheme="majorBidi" w:ascii="Arial" w:hAnsi="Arial" w:eastAsia="Microsoft YaHei"/>
      <w:b/>
      <w:bCs/>
      <w:i w:val="0"/>
      <w:color w:val="4B55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ageBreakBefore w:val="0"/>
      <w:pBdr>
        <w:bottom w:val="single" w:sz="8" w:space="4" w:color="4F81BD" w:themeColor="accent1"/>
      </w:pBdr>
      <w:spacing w:after="140" w:line="264" w:lineRule="auto" w:before="0"/>
      <w:ind w:left="0" w:right="0" w:firstLine="0"/>
      <w:contextualSpacing/>
      <w:jc w:val="center"/>
      <w:widowControl/>
    </w:pPr>
    <w:rPr>
      <w:rFonts w:asciiTheme="majorHAnsi" w:eastAsiaTheme="majorEastAsia" w:hAnsiTheme="majorHAnsi" w:cstheme="majorBidi" w:ascii="Arial" w:hAnsi="Arial" w:eastAsia="Microsoft YaHei"/>
      <w:b/>
      <w:i w:val="0"/>
      <w:color w:val="0F172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pageBreakBefore w:val="0"/>
      <w:numPr>
        <w:numId w:val="1"/>
      </w:numPr>
      <w:spacing w:line="348" w:lineRule="auto" w:before="0" w:after="100"/>
      <w:ind w:left="0" w:right="0" w:firstLine="420"/>
      <w:contextualSpacing/>
      <w:jc w:val="both"/>
      <w:widowControl/>
    </w:pPr>
    <w:rPr>
      <w:rFonts w:ascii="Times New Roman" w:hAnsi="Times New Roman" w:eastAsia="SimSun"/>
      <w:b w:val="0"/>
      <w:i w:val="0"/>
      <w:color w:val="11182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keepNext w:val="0"/>
      <w:pageBreakBefore w:val="0"/>
      <w:numPr>
        <w:numId w:val="2"/>
      </w:numPr>
      <w:spacing w:line="348" w:lineRule="auto" w:before="0" w:after="100"/>
      <w:ind w:left="0" w:right="0" w:firstLine="420"/>
      <w:contextualSpacing/>
      <w:jc w:val="both"/>
      <w:widowControl/>
    </w:pPr>
    <w:rPr>
      <w:rFonts w:ascii="Times New Roman" w:hAnsi="Times New Roman" w:eastAsia="SimSun"/>
      <w:b w:val="0"/>
      <w:i w:val="0"/>
      <w:color w:val="111827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pageBreakBefore w:val="0"/>
      <w:numPr>
        <w:numId w:val="5"/>
      </w:numPr>
      <w:spacing w:line="348" w:lineRule="auto" w:before="0" w:after="100"/>
      <w:ind w:left="0" w:right="0" w:firstLine="420"/>
      <w:contextualSpacing/>
      <w:jc w:val="both"/>
      <w:widowControl/>
    </w:pPr>
    <w:rPr>
      <w:rFonts w:ascii="Times New Roman" w:hAnsi="Times New Roman" w:eastAsia="SimSun"/>
      <w:b w:val="0"/>
      <w:i w:val="0"/>
      <w:color w:val="11182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keepNext w:val="0"/>
      <w:pageBreakBefore w:val="0"/>
      <w:numPr>
        <w:numId w:val="6"/>
      </w:numPr>
      <w:spacing w:line="348" w:lineRule="auto" w:before="0" w:after="100"/>
      <w:ind w:left="0" w:right="0" w:firstLine="420"/>
      <w:contextualSpacing/>
      <w:jc w:val="both"/>
      <w:widowControl/>
    </w:pPr>
    <w:rPr>
      <w:rFonts w:ascii="Times New Roman" w:hAnsi="Times New Roman" w:eastAsia="SimSun"/>
      <w:b w:val="0"/>
      <w:i w:val="0"/>
      <w:color w:val="111827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FEsubtitle">
    <w:name w:val="SFE subtitle"/>
    <w:pPr>
      <w:keepNext/>
      <w:pageBreakBefore w:val="0"/>
      <w:spacing w:line="276" w:lineRule="auto" w:before="0" w:after="200"/>
      <w:ind w:left="0" w:right="0" w:firstLine="0"/>
      <w:jc w:val="center"/>
      <w:widowControl/>
    </w:pPr>
    <w:rPr>
      <w:rFonts w:ascii="Times New Roman" w:hAnsi="Times New Roman" w:eastAsia="Microsoft YaHei"/>
      <w:b w:val="0"/>
      <w:i w:val="0"/>
      <w:color w:val="334155"/>
      <w:sz w:val="25"/>
    </w:rPr>
  </w:style>
  <w:style w:type="paragraph" w:customStyle="1" w:styleId="SFElead">
    <w:name w:val="SFE lead"/>
    <w:pPr>
      <w:keepNext w:val="0"/>
      <w:pageBreakBefore w:val="0"/>
      <w:spacing w:line="348" w:lineRule="auto" w:before="0" w:after="160"/>
      <w:ind w:left="0" w:right="0" w:firstLine="0"/>
      <w:jc w:val="both"/>
      <w:widowControl/>
    </w:pPr>
    <w:rPr>
      <w:rFonts w:ascii="Times New Roman" w:hAnsi="Times New Roman" w:eastAsia="SimSun"/>
      <w:b w:val="0"/>
      <w:i w:val="0"/>
      <w:color w:val="111827"/>
      <w:sz w:val="22"/>
    </w:rPr>
  </w:style>
  <w:style w:type="paragraph" w:customStyle="1" w:styleId="SFEquote">
    <w:name w:val="SFE quote"/>
    <w:pPr>
      <w:keepNext w:val="0"/>
      <w:pageBreakBefore w:val="0"/>
      <w:spacing w:line="324" w:lineRule="auto" w:before="80" w:after="120"/>
      <w:ind w:left="454" w:right="283" w:firstLine="0"/>
      <w:jc w:val="left"/>
      <w:widowControl/>
    </w:pPr>
    <w:rPr>
      <w:rFonts w:ascii="Times New Roman" w:hAnsi="Times New Roman" w:eastAsia="SimSun"/>
      <w:b w:val="0"/>
      <w:i w:val="0"/>
      <w:color w:val="374151"/>
      <w:sz w:val="20"/>
    </w:rPr>
  </w:style>
  <w:style w:type="paragraph" w:customStyle="1" w:styleId="SFEevidence">
    <w:name w:val="SFE evidence"/>
    <w:pPr>
      <w:keepNext w:val="0"/>
      <w:pageBreakBefore w:val="0"/>
      <w:spacing w:line="300" w:lineRule="auto" w:before="0" w:after="4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475569"/>
      <w:sz w:val="18"/>
    </w:rPr>
  </w:style>
  <w:style w:type="paragraph" w:customStyle="1" w:styleId="SFEanalysis">
    <w:name w:val="SFE analysis"/>
    <w:pPr>
      <w:keepNext w:val="0"/>
      <w:pageBreakBefore w:val="0"/>
      <w:spacing w:line="300" w:lineRule="auto" w:before="0" w:after="4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F2937"/>
      <w:sz w:val="20"/>
    </w:rPr>
  </w:style>
  <w:style w:type="paragraph" w:customStyle="1" w:styleId="SFEwarning">
    <w:name w:val="SFE warning"/>
    <w:pPr>
      <w:keepNext w:val="0"/>
      <w:pageBreakBefore w:val="0"/>
      <w:spacing w:line="324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F2937"/>
      <w:sz w:val="20"/>
    </w:rPr>
  </w:style>
  <w:style w:type="paragraph" w:customStyle="1" w:styleId="SFElimitation">
    <w:name w:val="SFE limitation"/>
    <w:pPr>
      <w:keepNext w:val="0"/>
      <w:pageBreakBefore w:val="0"/>
      <w:spacing w:line="324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F2937"/>
      <w:sz w:val="20"/>
    </w:rPr>
  </w:style>
  <w:style w:type="paragraph" w:customStyle="1" w:styleId="SFEnote">
    <w:name w:val="SFE note"/>
    <w:pPr>
      <w:keepNext w:val="0"/>
      <w:pageBreakBefore w:val="0"/>
      <w:spacing w:line="312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4B5563"/>
      <w:sz w:val="19"/>
    </w:rPr>
  </w:style>
  <w:style w:type="paragraph" w:customStyle="1" w:styleId="SFEreviewer_comment">
    <w:name w:val="SFE reviewer_comment"/>
    <w:pPr>
      <w:keepNext w:val="0"/>
      <w:pageBreakBefore w:val="0"/>
      <w:spacing w:line="324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F2937"/>
      <w:sz w:val="20"/>
    </w:rPr>
  </w:style>
  <w:style w:type="paragraph" w:customStyle="1" w:styleId="SFEauthor_response">
    <w:name w:val="SFE author_response"/>
    <w:pPr>
      <w:keepNext w:val="0"/>
      <w:pageBreakBefore w:val="0"/>
      <w:spacing w:line="324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4532D"/>
      <w:sz w:val="20"/>
    </w:rPr>
  </w:style>
  <w:style w:type="paragraph" w:customStyle="1" w:styleId="SFEcaption">
    <w:name w:val="SFE caption"/>
    <w:pPr>
      <w:keepNext w:val="0"/>
      <w:pageBreakBefore w:val="0"/>
      <w:spacing w:line="264" w:lineRule="auto" w:before="60" w:after="140"/>
      <w:ind w:left="0" w:right="0" w:firstLine="0"/>
      <w:jc w:val="center"/>
      <w:widowControl/>
    </w:pPr>
    <w:rPr>
      <w:rFonts w:ascii="Times New Roman" w:hAnsi="Times New Roman" w:eastAsia="SimSun"/>
      <w:b w:val="0"/>
      <w:i w:val="0"/>
      <w:color w:val="374151"/>
      <w:sz w:val="19"/>
    </w:rPr>
  </w:style>
  <w:style w:type="paragraph" w:customStyle="1" w:styleId="SFEtable">
    <w:name w:val="SFE table"/>
    <w:pPr>
      <w:keepNext w:val="0"/>
      <w:pageBreakBefore w:val="0"/>
      <w:spacing w:line="276" w:lineRule="auto" w:before="0" w:after="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11827"/>
      <w:sz w:val="19"/>
    </w:rPr>
  </w:style>
  <w:style w:type="paragraph" w:customStyle="1" w:styleId="SFEtable_header">
    <w:name w:val="SFE table_header"/>
    <w:pPr>
      <w:keepNext/>
      <w:pageBreakBefore w:val="0"/>
      <w:spacing w:line="264" w:lineRule="auto" w:before="0" w:after="0"/>
      <w:ind w:left="0" w:right="0" w:firstLine="0"/>
      <w:jc w:val="center"/>
      <w:widowControl/>
    </w:pPr>
    <w:rPr>
      <w:rFonts w:ascii="Times New Roman" w:hAnsi="Times New Roman" w:eastAsia="Microsoft YaHei"/>
      <w:b/>
      <w:i w:val="0"/>
      <w:color w:val="111827"/>
      <w:sz w:val="19"/>
    </w:rPr>
  </w:style>
  <w:style w:type="paragraph" w:customStyle="1" w:styleId="SFEcode">
    <w:name w:val="SFE code"/>
    <w:pPr>
      <w:keepNext w:val="0"/>
      <w:pageBreakBefore w:val="0"/>
      <w:spacing w:line="276" w:lineRule="auto" w:before="60" w:after="100"/>
      <w:ind w:left="340" w:right="340" w:firstLine="0"/>
      <w:jc w:val="left"/>
      <w:widowControl/>
    </w:pPr>
    <w:rPr>
      <w:rFonts w:ascii="Consolas" w:hAnsi="Consolas" w:eastAsia="Microsoft YaHei"/>
      <w:b w:val="0"/>
      <w:i w:val="0"/>
      <w:color w:val="111827"/>
      <w:sz w:val="19"/>
    </w:rPr>
  </w:style>
  <w:style w:type="paragraph" w:customStyle="1" w:styleId="SFEequation">
    <w:name w:val="SFE equation"/>
    <w:pPr>
      <w:keepNext w:val="0"/>
      <w:pageBreakBefore w:val="0"/>
      <w:spacing w:line="288" w:lineRule="auto" w:before="100" w:after="100"/>
      <w:ind w:left="0" w:right="0" w:firstLine="0"/>
      <w:jc w:val="center"/>
      <w:widowControl/>
    </w:pPr>
    <w:rPr>
      <w:rFonts w:ascii="Cambria Math" w:hAnsi="Cambria Math" w:eastAsia="Cambria Math"/>
      <w:b w:val="0"/>
      <w:i/>
      <w:color w:val="111827"/>
      <w:sz w:val="22"/>
    </w:rPr>
  </w:style>
  <w:style w:type="paragraph" w:customStyle="1" w:styleId="SFEresearch_direction">
    <w:name w:val="SFE research_direction"/>
    <w:pPr>
      <w:keepNext w:val="0"/>
      <w:pageBreakBefore w:val="0"/>
      <w:spacing w:line="300" w:lineRule="auto" w:before="0" w:after="40"/>
      <w:ind w:left="0" w:right="0" w:firstLine="0"/>
      <w:jc w:val="left"/>
      <w:widowControl/>
    </w:pPr>
    <w:rPr>
      <w:rFonts w:ascii="Times New Roman" w:hAnsi="Times New Roman" w:eastAsia="SimSun"/>
      <w:b w:val="0"/>
      <w:i w:val="0"/>
      <w:color w:val="134E4A"/>
      <w:sz w:val="20"/>
    </w:rPr>
  </w:style>
  <w:style w:type="paragraph" w:customStyle="1" w:styleId="SFEkey_takeaway">
    <w:name w:val="SFE key_takeaway"/>
    <w:pPr>
      <w:keepNext w:val="0"/>
      <w:pageBreakBefore w:val="0"/>
      <w:spacing w:line="300" w:lineRule="auto" w:before="0" w:after="40"/>
      <w:ind w:left="0" w:right="0" w:firstLine="0"/>
      <w:jc w:val="left"/>
      <w:widowControl/>
    </w:pPr>
    <w:rPr>
      <w:rFonts w:ascii="Arial" w:hAnsi="Arial" w:eastAsia="Microsoft YaHei"/>
      <w:b/>
      <w:i w:val="0"/>
      <w:color w:val="312E81"/>
      <w:sz w:val="22"/>
    </w:rPr>
  </w:style>
  <w:style w:type="paragraph" w:customStyle="1" w:styleId="SFEjudgment">
    <w:name w:val="SFE judgment"/>
    <w:pPr>
      <w:keepNext w:val="0"/>
      <w:pageBreakBefore w:val="0"/>
      <w:spacing w:line="300" w:lineRule="auto" w:before="0" w:after="40"/>
      <w:ind w:left="0" w:right="0" w:firstLine="0"/>
      <w:jc w:val="left"/>
      <w:widowControl/>
    </w:pPr>
    <w:rPr>
      <w:rFonts w:ascii="Arial" w:hAnsi="Arial" w:eastAsia="Microsoft YaHei"/>
      <w:b w:val="0"/>
      <w:i w:val="0"/>
      <w:color w:val="1F2937"/>
      <w:sz w:val="21"/>
    </w:rPr>
  </w:style>
  <w:style w:type="paragraph" w:customStyle="1" w:styleId="SFEclaim">
    <w:name w:val="SFE claim"/>
    <w:pPr>
      <w:keepNext w:val="0"/>
      <w:pageBreakBefore w:val="0"/>
      <w:spacing w:line="300" w:lineRule="auto" w:before="0" w:after="40"/>
      <w:ind w:left="0" w:right="0" w:firstLine="0"/>
      <w:jc w:val="left"/>
      <w:widowControl/>
    </w:pPr>
    <w:rPr>
      <w:rFonts w:ascii="Arial" w:hAnsi="Arial" w:eastAsia="Microsoft YaHei"/>
      <w:b w:val="0"/>
      <w:i w:val="0"/>
      <w:color w:val="1F2937"/>
      <w:sz w:val="20"/>
    </w:rPr>
  </w:style>
  <w:style w:type="paragraph" w:customStyle="1" w:styleId="SFEassumption">
    <w:name w:val="SFE assumption"/>
    <w:pPr>
      <w:keepNext w:val="0"/>
      <w:pageBreakBefore w:val="0"/>
      <w:spacing w:line="300" w:lineRule="auto" w:before="0" w:after="40"/>
      <w:ind w:left="0" w:right="0" w:firstLine="0"/>
      <w:jc w:val="left"/>
      <w:widowControl/>
    </w:pPr>
    <w:rPr>
      <w:rFonts w:ascii="Arial" w:hAnsi="Arial" w:eastAsia="Microsoft YaHei"/>
      <w:b w:val="0"/>
      <w:i w:val="0"/>
      <w:color w:val="374151"/>
      <w:sz w:val="20"/>
    </w:rPr>
  </w:style>
  <w:style w:type="paragraph" w:customStyle="1" w:styleId="SFErisk">
    <w:name w:val="SFE risk"/>
    <w:pPr>
      <w:keepNext w:val="0"/>
      <w:pageBreakBefore w:val="0"/>
      <w:spacing w:line="300" w:lineRule="auto" w:before="0" w:after="40"/>
      <w:ind w:left="0" w:right="0" w:firstLine="0"/>
      <w:jc w:val="left"/>
      <w:widowControl/>
    </w:pPr>
    <w:rPr>
      <w:rFonts w:ascii="Arial" w:hAnsi="Arial" w:eastAsia="Microsoft YaHei"/>
      <w:b w:val="0"/>
      <w:i w:val="0"/>
      <w:color w:val="7C2D12"/>
      <w:sz w:val="20"/>
    </w:rPr>
  </w:style>
  <w:style w:type="paragraph" w:customStyle="1" w:styleId="SFEreading_path">
    <w:name w:val="SFE reading_path"/>
    <w:pPr>
      <w:keepNext w:val="0"/>
      <w:pageBreakBefore w:val="0"/>
      <w:spacing w:line="300" w:lineRule="auto" w:before="0" w:after="40"/>
      <w:ind w:left="0" w:right="0" w:firstLine="0"/>
      <w:jc w:val="left"/>
      <w:widowControl/>
    </w:pPr>
    <w:rPr>
      <w:rFonts w:ascii="Arial" w:hAnsi="Arial" w:eastAsia="Microsoft YaHei"/>
      <w:b w:val="0"/>
      <w:i w:val="0"/>
      <w:color w:val="134E4A"/>
      <w:sz w:val="20"/>
    </w:rPr>
  </w:style>
  <w:style w:type="paragraph" w:customStyle="1" w:styleId="SFEsecondary">
    <w:name w:val="SFE secondary"/>
    <w:pPr>
      <w:keepNext w:val="0"/>
      <w:pageBreakBefore w:val="0"/>
      <w:spacing w:line="300" w:lineRule="auto" w:before="0" w:after="40"/>
      <w:ind w:left="0" w:right="0" w:firstLine="0"/>
      <w:jc w:val="left"/>
      <w:widowControl/>
    </w:pPr>
    <w:rPr>
      <w:rFonts w:ascii="Arial" w:hAnsi="Arial" w:eastAsia="Microsoft YaHei"/>
      <w:b w:val="0"/>
      <w:i w:val="0"/>
      <w:color w:val="6B728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