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9" w:rsidRPr="00E01EC9" w:rsidRDefault="00E01EC9" w:rsidP="00E01EC9">
      <w:pPr>
        <w:pStyle w:val="Ttulo"/>
        <w:rPr>
          <w:sz w:val="48"/>
          <w:szCs w:val="48"/>
        </w:rPr>
      </w:pPr>
      <w:r w:rsidRPr="00E01EC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77D6F6B" wp14:editId="32283723">
            <wp:simplePos x="0" y="0"/>
            <wp:positionH relativeFrom="margin">
              <wp:posOffset>4832350</wp:posOffset>
            </wp:positionH>
            <wp:positionV relativeFrom="paragraph">
              <wp:posOffset>123190</wp:posOffset>
            </wp:positionV>
            <wp:extent cx="1101090" cy="1101090"/>
            <wp:effectExtent l="0" t="0" r="381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EC9">
        <w:rPr>
          <w:sz w:val="48"/>
          <w:szCs w:val="48"/>
        </w:rPr>
        <w:t xml:space="preserve">Justificación sistema operativo servidor y terminales  </w:t>
      </w:r>
    </w:p>
    <w:p w:rsidR="00E01EC9" w:rsidRDefault="004A2210" w:rsidP="00E01E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Segunda </w:t>
      </w:r>
      <w:r w:rsidR="00E01EC9">
        <w:rPr>
          <w:sz w:val="28"/>
          <w:szCs w:val="28"/>
        </w:rPr>
        <w:t xml:space="preserve"> entrega</w:t>
      </w:r>
      <w:proofErr w:type="gramEnd"/>
      <w:r w:rsidR="00E01EC9">
        <w:rPr>
          <w:sz w:val="28"/>
          <w:szCs w:val="28"/>
        </w:rPr>
        <w:t xml:space="preserve"> </w:t>
      </w:r>
      <w:r>
        <w:rPr>
          <w:sz w:val="28"/>
          <w:szCs w:val="28"/>
        </w:rPr>
        <w:t>4/9</w:t>
      </w:r>
      <w:r w:rsidR="00E01EC9">
        <w:rPr>
          <w:sz w:val="28"/>
          <w:szCs w:val="28"/>
        </w:rPr>
        <w:t>/2019</w:t>
      </w:r>
    </w:p>
    <w:p w:rsidR="00E01EC9" w:rsidRPr="00182108" w:rsidRDefault="00E01EC9" w:rsidP="00E01EC9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F655" wp14:editId="3711F2B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FF41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5061">
        <w:rPr>
          <w:sz w:val="24"/>
          <w:szCs w:val="24"/>
        </w:rPr>
        <w:t>SO01003 y SO01004</w:t>
      </w:r>
      <w:r>
        <w:rPr>
          <w:sz w:val="24"/>
          <w:szCs w:val="24"/>
        </w:rPr>
        <w:t>/</w:t>
      </w:r>
    </w:p>
    <w:p w:rsidR="009879CB" w:rsidRDefault="009879CB"/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0" w:name="_Toc7366060"/>
      <w:r w:rsidRPr="009879CB">
        <w:rPr>
          <w:lang w:val="es-ES"/>
        </w:rPr>
        <w:t>Relevamiento y justificación del Sistema Operativo del Servidor</w:t>
      </w:r>
      <w:bookmarkEnd w:id="0"/>
    </w:p>
    <w:p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y SUSE Linux Enterprise Server. Ambas poseen soporte comercial en Uruguay, y son consideradas las distribuciones de Linux más estables. Sin embargo, presentan ciertas diferencias. Mientras que SLES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SLES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empresas certificadas por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En vista de estas diferencias entre ambos sistemas, la decisión tomada es el uso de Red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Hat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Enterprise Linux </w:t>
      </w:r>
      <w:r w:rsidR="000C120A">
        <w:rPr>
          <w:rFonts w:ascii="Times New Roman" w:hAnsi="Times New Roman" w:cs="Times New Roman"/>
          <w:lang w:val="es-ES" w:eastAsia="es-ES"/>
        </w:rPr>
        <w:t xml:space="preserve">7.3 </w:t>
      </w:r>
      <w:r w:rsidRPr="00993F08">
        <w:rPr>
          <w:rFonts w:ascii="Times New Roman" w:hAnsi="Times New Roman" w:cs="Times New Roman"/>
          <w:lang w:val="es-ES" w:eastAsia="es-ES"/>
        </w:rPr>
        <w:t>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</w:t>
      </w:r>
      <w:r w:rsidR="00CE7D74">
        <w:rPr>
          <w:rFonts w:ascii="Times New Roman" w:hAnsi="Times New Roman" w:cs="Times New Roman"/>
          <w:lang w:val="es-ES" w:eastAsia="es-ES"/>
        </w:rPr>
        <w:t xml:space="preserve"> Pro </w:t>
      </w:r>
      <w:r>
        <w:rPr>
          <w:rFonts w:ascii="Times New Roman" w:hAnsi="Times New Roman" w:cs="Times New Roman"/>
          <w:lang w:val="es-ES" w:eastAsia="es-ES"/>
        </w:rPr>
        <w:t>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 ni interfaces en Windows Forms)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3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FF5158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A00" w:rsidRDefault="00BF1A00" w:rsidP="00854316">
      <w:pPr>
        <w:spacing w:after="0" w:line="240" w:lineRule="auto"/>
      </w:pPr>
      <w:r>
        <w:separator/>
      </w:r>
    </w:p>
  </w:endnote>
  <w:endnote w:type="continuationSeparator" w:id="0">
    <w:p w:rsidR="00BF1A00" w:rsidRDefault="00BF1A00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FF5158" w:rsidRDefault="00FF5158">
            <w:pPr>
              <w:pStyle w:val="Piedepgina"/>
            </w:pPr>
          </w:p>
          <w:p w:rsidR="00854316" w:rsidRDefault="00854316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B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A00" w:rsidRDefault="00BF1A00" w:rsidP="00854316">
      <w:pPr>
        <w:spacing w:after="0" w:line="240" w:lineRule="auto"/>
      </w:pPr>
      <w:r>
        <w:separator/>
      </w:r>
    </w:p>
  </w:footnote>
  <w:footnote w:type="continuationSeparator" w:id="0">
    <w:p w:rsidR="00BF1A00" w:rsidRDefault="00BF1A00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SRL, Arnaldo C. Castro S.A., A.T. SRL,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>, sitio web no disponible al momento de escritura del documento y BHV Informática.</w:t>
      </w:r>
      <w:bookmarkStart w:id="1" w:name="_GoBack"/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BF1A00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BF1A00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0C120A"/>
    <w:rsid w:val="002C182D"/>
    <w:rsid w:val="003E608E"/>
    <w:rsid w:val="004A2210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76073"/>
    <w:rsid w:val="009879CB"/>
    <w:rsid w:val="009926FE"/>
    <w:rsid w:val="00993F08"/>
    <w:rsid w:val="009C276A"/>
    <w:rsid w:val="00A1418B"/>
    <w:rsid w:val="00A50686"/>
    <w:rsid w:val="00AA7A69"/>
    <w:rsid w:val="00AC5061"/>
    <w:rsid w:val="00B46D02"/>
    <w:rsid w:val="00B81ADC"/>
    <w:rsid w:val="00BF1A00"/>
    <w:rsid w:val="00C21B57"/>
    <w:rsid w:val="00CB38A1"/>
    <w:rsid w:val="00CE7D74"/>
    <w:rsid w:val="00D5375D"/>
    <w:rsid w:val="00D6655B"/>
    <w:rsid w:val="00E01EC9"/>
    <w:rsid w:val="00F14B24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2047A64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17309E19-81C5-450B-B017-7D5E6939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Daniel</cp:lastModifiedBy>
  <cp:revision>12</cp:revision>
  <dcterms:created xsi:type="dcterms:W3CDTF">2019-04-28T09:10:00Z</dcterms:created>
  <dcterms:modified xsi:type="dcterms:W3CDTF">2019-09-07T01:11:00Z</dcterms:modified>
</cp:coreProperties>
</file>