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cover-bg" descr="Latar biru navy dengan lingkaran oranye" title="Latar samp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r>
        <w:rPr>
          <w:b/>
          <w:bCs/>
          <w:color w:val="F7B98A"/>
          <w:spacing w:val="40"/>
          <w:sz w:val="20"/>
          <w:szCs w:val="20"/>
        </w:rPr>
        <w:t xml:space="preserve">MTI-CONSULTING × AKTI CASE COMPETITION 2026</w:t>
      </w:r>
    </w:p>
    <w:p>
      <w:pPr>
        <w:spacing w:after="0"/>
      </w:pPr>
      <w:r>
        <w:rPr>
          <w:rFonts w:ascii="Calibri" w:cs="Calibri" w:eastAsia="Calibri" w:hAnsi="Calibri"/>
          <w:color w:val="C9D2EC"/>
          <w:sz w:val="19"/>
          <w:szCs w:val="19"/>
        </w:rPr>
        <w:t xml:space="preserve">Subjek kasus: PT Toyota Motor Manufacturing Indonesia (TMMIN)</w:t>
      </w:r>
    </w:p>
    <w:p>
      <w:pPr>
        <w:spacing w:before="3600"/>
      </w:pPr>
      <w:r>
        <w:rPr>
          <w:i/>
          <w:iCs/>
          <w:color w:val="F7B98A"/>
          <w:sz w:val="22"/>
          <w:szCs w:val="22"/>
        </w:rPr>
        <w:t xml:space="preserve">Next-Level Kaizen: Transforming Manufacturing by Integrating Future Technology and People</w:t>
      </w:r>
    </w:p>
    <w:p>
      <w:pPr>
        <w:spacing w:after="160" w:before="480" w:line="240"/>
      </w:pPr>
      <w:r>
        <w:rPr>
          <w:rFonts w:ascii="Calibri" w:cs="Calibri" w:eastAsia="Calibri" w:hAnsi="Calibri"/>
          <w:b/>
          <w:bCs/>
          <w:color w:val="FFFFFF"/>
          <w:sz w:val="76"/>
          <w:szCs w:val="76"/>
        </w:rPr>
        <w:t xml:space="preserve">[Judul Solusi Tim]</w:t>
      </w:r>
    </w:p>
    <w:p>
      <w:pPr>
        <w:spacing w:after="360"/>
      </w:pPr>
      <w:r>
        <w:rPr>
          <w:rFonts w:ascii="Calibri" w:cs="Calibri" w:eastAsia="Calibri" w:hAnsi="Calibri"/>
          <w:color w:val="DCE3F5"/>
          <w:sz w:val="30"/>
          <w:szCs w:val="30"/>
        </w:rPr>
        <w:t xml:space="preserve">[Subjudul: satu kalimat inti gagasan tim]</w:t>
      </w:r>
    </w:p>
    <w:p>
      <w:r>
        <w:rPr>
          <w:b/>
          <w:bCs/>
          <w:color w:val="F7B98A"/>
          <w:spacing w:val="30"/>
          <w:sz w:val="19"/>
          <w:szCs w:val="19"/>
        </w:rPr>
        <w:t xml:space="preserve">PROPOSAL SOLUSI · 2026</w:t>
      </w:r>
    </w:p>
    <w:p>
      <w:pPr>
        <w:pBdr>
          <w:left w:val="single" w:color="E8742A" w:sz="24" w:space="10"/>
        </w:pBdr>
        <w:spacing w:before="3300"/>
        <w:ind w:left="220"/>
      </w:pPr>
      <w:r>
        <w:rPr>
          <w:rFonts w:ascii="Calibri" w:cs="Calibri" w:eastAsia="Calibri" w:hAnsi="Calibri"/>
          <w:b/>
          <w:bCs/>
          <w:color w:val="FFFFFF"/>
          <w:sz w:val="28"/>
          <w:szCs w:val="28"/>
        </w:rPr>
        <w:t xml:space="preserve">Tim [Nama Tim]</w:t>
      </w:r>
    </w:p>
    <w:p>
      <w:pPr>
        <w:pBdr>
          <w:left w:val="single" w:color="E8742A" w:sz="24" w:space="10"/>
        </w:pBdr>
        <w:spacing w:after="0"/>
        <w:ind w:left="220"/>
      </w:pPr>
      <w:r>
        <w:rPr>
          <w:rFonts w:ascii="Calibri" w:cs="Calibri" w:eastAsia="Calibri" w:hAnsi="Calibri"/>
          <w:color w:val="DCE3F5"/>
          <w:sz w:val="22"/>
          <w:szCs w:val="22"/>
        </w:rPr>
        <w:t xml:space="preserve">[Nama Anggota 1]</w:t>
      </w:r>
    </w:p>
    <w:p>
      <w:pPr>
        <w:pBdr>
          <w:left w:val="single" w:color="E8742A" w:sz="24" w:space="10"/>
        </w:pBdr>
        <w:spacing w:after="0"/>
        <w:ind w:left="220"/>
      </w:pPr>
      <w:r>
        <w:rPr>
          <w:rFonts w:ascii="Calibri" w:cs="Calibri" w:eastAsia="Calibri" w:hAnsi="Calibri"/>
          <w:color w:val="DCE3F5"/>
          <w:sz w:val="22"/>
          <w:szCs w:val="22"/>
        </w:rPr>
        <w:t xml:space="preserve">[Nama Anggota 2]</w:t>
      </w:r>
    </w:p>
    <w:p>
      <w:pPr>
        <w:pBdr>
          <w:left w:val="single" w:color="E8742A" w:sz="24" w:space="10"/>
        </w:pBdr>
        <w:spacing w:after="0"/>
        <w:ind w:left="220"/>
      </w:pPr>
      <w:r>
        <w:rPr>
          <w:rFonts w:ascii="Calibri" w:cs="Calibri" w:eastAsia="Calibri" w:hAnsi="Calibri"/>
          <w:color w:val="DCE3F5"/>
          <w:sz w:val="22"/>
          <w:szCs w:val="22"/>
        </w:rPr>
        <w:t xml:space="preserve">[Nama Anggota 3]</w:t>
      </w:r>
    </w:p>
    <w:p>
      <w:pPr>
        <w:pBdr>
          <w:left w:val="single" w:color="E8742A" w:sz="24" w:space="10"/>
        </w:pBdr>
        <w:spacing w:after="0"/>
        <w:ind w:left="220"/>
      </w:pPr>
      <w:r>
        <w:rPr>
          <w:rFonts w:ascii="Calibri" w:cs="Calibri" w:eastAsia="Calibri" w:hAnsi="Calibri"/>
          <w:color w:val="DCE3F5"/>
          <w:sz w:val="22"/>
          <w:szCs w:val="22"/>
        </w:rPr>
        <w:t xml:space="preserve">[Nama Universitas]</w:t>
      </w:r>
    </w:p>
    <w:p>
      <w:pPr>
        <w:sectPr>
          <w:pgSz w:w="11906" w:h="16838" w:orient="portrait"/>
          <w:pgMar w:top="1134" w:right="1134" w:bottom="851" w:left="1134" w:header="708" w:footer="708" w:gutter="0"/>
          <w:pgNumType/>
          <w:docGrid w:linePitch="360"/>
        </w:sectPr>
      </w:pPr>
    </w:p>
    <w:p>
      <w:pPr>
        <w:pStyle w:val="Heading1"/>
      </w:pPr>
      <w:r>
        <w:t xml:space="preserve">Daftar Isi</w:t>
      </w:r>
    </w:p>
    <w:sdt>
      <w:sdtPr>
        <w:alias w:val="Daftar Isi"/>
      </w:sdtPr>
      <w:sdtContent>
        <w:p>
          <w:pPr>
            <w:tabs>
              <w:tab w:val="right" w:leader="dot" w:pos="9628"/>
            </w:tabs>
            <w:spacing w:before="80" w:after="40"/>
            <w:ind w:left="0"/>
          </w:pPr>
          <w:r>
            <w:fldChar w:fldCharType="begin" w:dirty="true"/>
            <w:instrText xml:space="preserve">TOC \h \o "1-2"</w:instrText>
            <w:fldChar w:fldCharType="separate"/>
          </w:r>
          <w:r>
            <w:rPr>
              <w:b/>
              <w:bCs/>
              <w:sz w:val="21"/>
              <w:szCs w:val="21"/>
            </w:rPr>
            <w:t xml:space="preserve">Ringkasan Eksekutif</w:t>
          </w:r>
          <w:r>
            <w:tab/>
          </w:r>
          <w:r>
            <w:rPr>
              <w:sz w:val="20"/>
              <w:szCs w:val="20"/>
            </w:rPr>
            <w:t xml:space="preserve">2</w:t>
          </w:r>
        </w:p>
        <w:p>
          <w:pPr>
            <w:tabs>
              <w:tab w:val="right" w:leader="dot" w:pos="9628"/>
            </w:tabs>
            <w:spacing w:before="80" w:after="40"/>
            <w:ind w:left="0"/>
          </w:pPr>
          <w:r>
            <w:rPr>
              <w:b/>
              <w:bCs/>
              <w:sz w:val="21"/>
              <w:szCs w:val="21"/>
            </w:rPr>
            <w:t xml:space="preserve">Bab 1. Problem Identification &amp; Analysis</w:t>
          </w:r>
          <w:r>
            <w:tab/>
          </w:r>
          <w:r>
            <w:rPr>
              <w:sz w:val="20"/>
              <w:szCs w:val="20"/>
            </w:rPr>
            <w:t xml:space="preserve">3</w:t>
          </w:r>
        </w:p>
        <w:p>
          <w:pPr>
            <w:tabs>
              <w:tab w:val="right" w:leader="dot" w:pos="9628"/>
            </w:tabs>
            <w:spacing w:before="0" w:after="40"/>
            <w:ind w:left="360"/>
          </w:pPr>
          <w:r>
            <w:rPr>
              <w:sz w:val="20"/>
              <w:szCs w:val="20"/>
            </w:rPr>
            <w:t xml:space="preserve">1.1 Profil Perusahaan</w:t>
          </w:r>
          <w:r>
            <w:tab/>
          </w:r>
          <w:r>
            <w:rPr>
              <w:sz w:val="20"/>
              <w:szCs w:val="20"/>
            </w:rPr>
            <w:t xml:space="preserve">3</w:t>
          </w:r>
        </w:p>
        <w:p>
          <w:pPr>
            <w:tabs>
              <w:tab w:val="right" w:leader="dot" w:pos="9628"/>
            </w:tabs>
            <w:spacing w:before="0" w:after="40"/>
            <w:ind w:left="360"/>
          </w:pPr>
          <w:r>
            <w:rPr>
              <w:sz w:val="20"/>
              <w:szCs w:val="20"/>
            </w:rPr>
            <w:t xml:space="preserve">1.2 Latar Belakang</w:t>
          </w:r>
          <w:r>
            <w:tab/>
          </w:r>
          <w:r>
            <w:rPr>
              <w:sz w:val="20"/>
              <w:szCs w:val="20"/>
            </w:rPr>
            <w:t xml:space="preserve">3</w:t>
          </w:r>
        </w:p>
        <w:p>
          <w:pPr>
            <w:tabs>
              <w:tab w:val="right" w:leader="dot" w:pos="9628"/>
            </w:tabs>
            <w:spacing w:before="0" w:after="40"/>
            <w:ind w:left="360"/>
          </w:pPr>
          <w:r>
            <w:rPr>
              <w:sz w:val="20"/>
              <w:szCs w:val="20"/>
            </w:rPr>
            <w:t xml:space="preserve">1.3 Issue Tree</w:t>
          </w:r>
          <w:r>
            <w:tab/>
          </w:r>
          <w:r>
            <w:rPr>
              <w:sz w:val="20"/>
              <w:szCs w:val="20"/>
            </w:rPr>
            <w:t xml:space="preserve">3</w:t>
          </w:r>
        </w:p>
        <w:p>
          <w:pPr>
            <w:tabs>
              <w:tab w:val="right" w:leader="dot" w:pos="9628"/>
            </w:tabs>
            <w:spacing w:before="0" w:after="40"/>
            <w:ind w:left="360"/>
          </w:pPr>
          <w:r>
            <w:rPr>
              <w:sz w:val="20"/>
              <w:szCs w:val="20"/>
            </w:rPr>
            <w:t xml:space="preserve">1.4 Gap Analysis</w:t>
          </w:r>
          <w:r>
            <w:tab/>
          </w:r>
          <w:r>
            <w:rPr>
              <w:sz w:val="20"/>
              <w:szCs w:val="20"/>
            </w:rPr>
            <w:t xml:space="preserve">4</w:t>
          </w:r>
        </w:p>
        <w:p>
          <w:pPr>
            <w:tabs>
              <w:tab w:val="right" w:leader="dot" w:pos="9628"/>
            </w:tabs>
            <w:spacing w:before="80" w:after="40"/>
            <w:ind w:left="0"/>
          </w:pPr>
          <w:r>
            <w:rPr>
              <w:b/>
              <w:bCs/>
              <w:sz w:val="21"/>
              <w:szCs w:val="21"/>
            </w:rPr>
            <w:t xml:space="preserve">Bab 2. Strategic Recommendation</w:t>
          </w:r>
          <w:r>
            <w:tab/>
          </w:r>
          <w:r>
            <w:rPr>
              <w:sz w:val="20"/>
              <w:szCs w:val="20"/>
            </w:rPr>
            <w:t xml:space="preserve">5</w:t>
          </w:r>
        </w:p>
        <w:p>
          <w:pPr>
            <w:tabs>
              <w:tab w:val="right" w:leader="dot" w:pos="9628"/>
            </w:tabs>
            <w:spacing w:before="0" w:after="40"/>
            <w:ind w:left="360"/>
          </w:pPr>
          <w:r>
            <w:rPr>
              <w:sz w:val="20"/>
              <w:szCs w:val="20"/>
            </w:rPr>
            <w:t xml:space="preserve">2.1 Visi</w:t>
          </w:r>
          <w:r>
            <w:tab/>
          </w:r>
          <w:r>
            <w:rPr>
              <w:sz w:val="20"/>
              <w:szCs w:val="20"/>
            </w:rPr>
            <w:t xml:space="preserve">5</w:t>
          </w:r>
        </w:p>
        <w:p>
          <w:pPr>
            <w:tabs>
              <w:tab w:val="right" w:leader="dot" w:pos="9628"/>
            </w:tabs>
            <w:spacing w:before="0" w:after="40"/>
            <w:ind w:left="360"/>
          </w:pPr>
          <w:r>
            <w:rPr>
              <w:sz w:val="20"/>
              <w:szCs w:val="20"/>
            </w:rPr>
            <w:t xml:space="preserve">2.2 Transformasi Manufaktur</w:t>
          </w:r>
          <w:r>
            <w:tab/>
          </w:r>
          <w:r>
            <w:rPr>
              <w:sz w:val="20"/>
              <w:szCs w:val="20"/>
            </w:rPr>
            <w:t xml:space="preserve">5</w:t>
          </w:r>
        </w:p>
        <w:p>
          <w:pPr>
            <w:tabs>
              <w:tab w:val="right" w:leader="dot" w:pos="9628"/>
            </w:tabs>
            <w:spacing w:before="0" w:after="40"/>
            <w:ind w:left="360"/>
          </w:pPr>
          <w:r>
            <w:rPr>
              <w:sz w:val="20"/>
              <w:szCs w:val="20"/>
            </w:rPr>
            <w:t xml:space="preserve">2.3 Transformasi Organisasi</w:t>
          </w:r>
          <w:r>
            <w:tab/>
          </w:r>
          <w:r>
            <w:rPr>
              <w:sz w:val="20"/>
              <w:szCs w:val="20"/>
            </w:rPr>
            <w:t xml:space="preserve">5</w:t>
          </w:r>
        </w:p>
        <w:p>
          <w:pPr>
            <w:tabs>
              <w:tab w:val="right" w:leader="dot" w:pos="9628"/>
            </w:tabs>
            <w:spacing w:before="80" w:after="40"/>
            <w:ind w:left="0"/>
          </w:pPr>
          <w:r>
            <w:rPr>
              <w:b/>
              <w:bCs/>
              <w:sz w:val="21"/>
              <w:szCs w:val="21"/>
            </w:rPr>
            <w:t xml:space="preserve">Bab 3. Implementation Direction</w:t>
          </w:r>
          <w:r>
            <w:tab/>
          </w:r>
          <w:r>
            <w:rPr>
              <w:sz w:val="20"/>
              <w:szCs w:val="20"/>
            </w:rPr>
            <w:t xml:space="preserve">6</w:t>
          </w:r>
        </w:p>
        <w:p>
          <w:pPr>
            <w:tabs>
              <w:tab w:val="right" w:leader="dot" w:pos="9628"/>
            </w:tabs>
            <w:spacing w:before="0" w:after="40"/>
            <w:ind w:left="360"/>
          </w:pPr>
          <w:r>
            <w:rPr>
              <w:sz w:val="20"/>
              <w:szCs w:val="20"/>
            </w:rPr>
            <w:t xml:space="preserve">3.1 Timeline Projection</w:t>
          </w:r>
          <w:r>
            <w:tab/>
          </w:r>
          <w:r>
            <w:rPr>
              <w:sz w:val="20"/>
              <w:szCs w:val="20"/>
            </w:rPr>
            <w:t xml:space="preserve">6</w:t>
          </w:r>
        </w:p>
        <w:p>
          <w:pPr>
            <w:tabs>
              <w:tab w:val="right" w:leader="dot" w:pos="9628"/>
            </w:tabs>
            <w:spacing w:before="0" w:after="40"/>
            <w:ind w:left="360"/>
          </w:pPr>
          <w:r>
            <w:rPr>
              <w:sz w:val="20"/>
              <w:szCs w:val="20"/>
            </w:rPr>
            <w:t xml:space="preserve">3.2 Financial Projection</w:t>
          </w:r>
          <w:r>
            <w:tab/>
          </w:r>
          <w:r>
            <w:rPr>
              <w:sz w:val="20"/>
              <w:szCs w:val="20"/>
            </w:rPr>
            <w:t xml:space="preserve">6</w:t>
          </w:r>
        </w:p>
        <w:p>
          <w:pPr>
            <w:tabs>
              <w:tab w:val="right" w:leader="dot" w:pos="9628"/>
            </w:tabs>
            <w:spacing w:before="0" w:after="40"/>
            <w:ind w:left="360"/>
          </w:pPr>
          <w:r>
            <w:rPr>
              <w:sz w:val="20"/>
              <w:szCs w:val="20"/>
            </w:rPr>
            <w:t xml:space="preserve">3.3 Risk Mitigation Analysis</w:t>
          </w:r>
          <w:r>
            <w:tab/>
          </w:r>
          <w:r>
            <w:rPr>
              <w:sz w:val="20"/>
              <w:szCs w:val="20"/>
            </w:rPr>
            <w:t xml:space="preserve">6</w:t>
          </w:r>
        </w:p>
        <w:p>
          <w:pPr>
            <w:tabs>
              <w:tab w:val="right" w:leader="dot" w:pos="9628"/>
            </w:tabs>
            <w:spacing w:before="80" w:after="40"/>
            <w:ind w:left="0"/>
          </w:pPr>
          <w:r>
            <w:rPr>
              <w:b/>
              <w:bCs/>
              <w:sz w:val="21"/>
              <w:szCs w:val="21"/>
            </w:rPr>
            <w:t xml:space="preserve">Bab 4. Expected Business Impact</w:t>
          </w:r>
          <w:r>
            <w:tab/>
          </w:r>
          <w:r>
            <w:rPr>
              <w:sz w:val="20"/>
              <w:szCs w:val="20"/>
            </w:rPr>
            <w:t xml:space="preserve">7</w:t>
          </w:r>
        </w:p>
        <w:p>
          <w:pPr>
            <w:tabs>
              <w:tab w:val="right" w:leader="dot" w:pos="9628"/>
            </w:tabs>
            <w:spacing w:before="0" w:after="40"/>
            <w:ind w:left="360"/>
          </w:pPr>
          <w:r>
            <w:rPr>
              <w:sz w:val="20"/>
              <w:szCs w:val="20"/>
            </w:rPr>
            <w:t xml:space="preserve">4.1 Impact Assessment</w:t>
          </w:r>
          <w:r>
            <w:tab/>
          </w:r>
          <w:r>
            <w:rPr>
              <w:sz w:val="20"/>
              <w:szCs w:val="20"/>
            </w:rPr>
            <w:t xml:space="preserve">7</w:t>
          </w:r>
        </w:p>
        <w:p>
          <w:pPr>
            <w:tabs>
              <w:tab w:val="right" w:leader="dot" w:pos="9628"/>
            </w:tabs>
            <w:spacing w:before="80" w:after="40"/>
            <w:ind w:left="0"/>
          </w:pPr>
          <w:r>
            <w:rPr>
              <w:b/>
              <w:bCs/>
              <w:sz w:val="21"/>
              <w:szCs w:val="21"/>
            </w:rPr>
            <w:t xml:space="preserve">Daftar Pustaka</w:t>
          </w:r>
          <w:r>
            <w:tab/>
          </w:r>
          <w:r>
            <w:rPr>
              <w:sz w:val="20"/>
              <w:szCs w:val="20"/>
            </w:rPr>
            <w:t xml:space="preserve">8</w:t>
          </w:r>
          <w:r>
            <w:fldChar w:fldCharType="end"/>
          </w:r>
        </w:p>
      </w:sdtContent>
    </w:sdt>
    <w:p>
      <w:pPr>
        <w:pStyle w:val="Heading1"/>
        <w:pageBreakBefore/>
      </w:pPr>
      <w:r>
        <w:rPr/>
        <w:t xml:space="preserve">Ringkasan Eksekutif</w:t>
      </w:r>
    </w:p>
    <w:p>
      <w:pPr>
        <w:spacing w:after="120"/>
      </w:pPr>
      <w:r>
        <w:rPr>
          <w:i/>
          <w:iCs/>
          <w:color w:val="7A8494"/>
        </w:rPr>
        <w:t xml:space="preserve">[Diisi setelah Bab 1–4 selesai: satu kalimat jawaban utama, masalah inti, gagasan, dan keputusan yang diminta.]</w:t>
      </w:r>
    </w:p>
    <w:p>
      <w:pPr>
        <w:pStyle w:val="Heading1"/>
        <w:pageBreakBefore/>
      </w:pPr>
      <w:r>
        <w:rPr/>
        <w:t xml:space="preserve">Bab 1. Problem Identification &amp; Analysis</w:t>
      </w:r>
    </w:p>
    <w:p>
      <w:pPr>
        <w:pBdr>
          <w:left w:val="single" w:color="E8742A" w:sz="18" w:space="8"/>
        </w:pBdr>
        <w:spacing w:before="40" w:after="120"/>
        <w:ind w:left="200"/>
        <w:jc w:val="both"/>
      </w:pPr>
      <w:r>
        <w:rPr>
          <w:color w:val="1F2F6B"/>
          <w:sz w:val="22"/>
          <w:szCs w:val="22"/>
        </w:rPr>
        <w:t xml:space="preserve">Daya saing TMMIN tergerus karena pabrik belajar lebih lambat daripada pesaingnya. Selisih biaya konversi terhadap pemain baru melebar dari 6 menjadi 17 poin indeks dalam dua tahun, dan celah terbesarnya berada di antara proses, bukan di dalam satu proses.</w:t>
      </w:r>
    </w:p>
    <w:p>
      <w:pPr>
        <w:pStyle w:val="Heading2"/>
        <w:keepNext/>
        <w:spacing w:before="160" w:after="60"/>
      </w:pPr>
      <w:r>
        <w:rPr/>
        <w:t xml:space="preserve">1.1 Profil Perusahaan</w:t>
      </w:r>
    </w:p>
    <w:p>
      <w:pPr>
        <w:spacing w:after="100"/>
        <w:jc w:val="both"/>
      </w:pPr>
      <w:r>
        <w:rPr/>
        <w:t xml:space="preserve">PT Toyota Motor Manufacturing Indonesia (TMMIN) dipisahkan dari PT Toyota-Astra Motor pada 2003 sebagai basis manufaktur Toyota di Indonesia, dengan kepemilikan Toyota Motor Corporation 95% dan Astra International 5% (Toyota-Astra Motor, t.t.). Mandatnya murni manufaktur: lima fasilitas di Sunter dan Karawang memproduksi kendaraan, mesin, serta komponen press dan casting, dan ekspor kumulatif kendaraan utuhnya mencapai tiga juta unit pada September 2025 (CNN Indonesia, 2025). Perakitan Karawang I dan II berkapasitas 250.000 unit/tahun, beroperasi pada utilisasi 70%, dengan biaya konversi Rp3,2 juta per unit atau ~Rp560 miliar per tahun (AKTI &amp; TMMIN, 2026).</w:t>
      </w:r>
    </w:p>
    <w:p>
      <w:pPr>
        <w:spacing w:after="100"/>
        <w:jc w:val="both"/>
      </w:pPr>
      <w:r>
        <w:rPr/>
        <w:t xml:space="preserve">Cara TMMIN memproduksi berakar pada Toyota Production System, yang kekuatannya adalah umpan balik cepat: abnormalitas langsung terlihat, ditangani dekat sumbernya, dan solusinya kembali menjadi standar kerja (Ohno, 1988; Spear &amp; Bowen, 1999). Proses produksi intinya cukup matang (4 dari 12 proses di Level 3), tetapi dua fungsi penghubung, inspeksi kualitas dan integrasi data, masih manual di Level 1. Kompetensi digital juga tipis: hanya 2 dari 30 engineer Software &amp; AI berada di Level 3 ke atas, dibanding 19 dari 30 di bidang mekanikal.</w:t>
      </w:r>
    </w:p>
    <w:p>
      <w:pPr>
        <w:pStyle w:val="Heading2"/>
        <w:keepNext/>
        <w:spacing w:before="160" w:after="60"/>
      </w:pPr>
      <w:r>
        <w:rPr/>
        <w:t xml:space="preserve">1.2 Latar Belakang</w:t>
      </w:r>
    </w:p>
    <w:p>
      <w:pPr>
        <w:spacing w:after="100"/>
        <w:jc w:val="both"/>
      </w:pPr>
      <w:r>
        <w:rPr/>
        <w:t xml:space="preserve">Tiga tekanan bertemu pada 2026–2030. Pertama, pasar domestik menyusut: </w:t>
      </w:r>
      <w:r>
        <w:rPr>
          <w:i/>
          <w:iCs/>
        </w:rPr>
        <w:t xml:space="preserve">wholesales</w:t>
      </w:r>
      <w:r>
        <w:rPr/>
        <w:t xml:space="preserve"> turun 7,2% pada 2025 (AKTI &amp; TMMIN, 2026). Kedua, era C.A.S.E. menaikkan keragaman produk (McKinsey &amp; Company, 2016). Porsi kendaraan elektrifikasi diproyeksikan naik dari 30% menjadi 55%–70% pada 2030, didorong kebijakan percepatan kendaraan listrik (Perpres No. 55 Tahun 2019 jo. No. 79 Tahun 2023), sementara modifikasi peralatan per varian justru memanjang dari 8 menjadi 9 bulan. Ketiga, pemain baru terus menurunkan biaya: indeksnya turun dari 94 ke 89, sejalan dengan pasar nyata ketika BYD meraih sekitar 36% pangsa mobil listrik pada tahun pertamanya di Indonesia (Okezone, 2025).</w:t>
      </w:r>
    </w:p>
    <w:p>
      <w:pPr>
        <w:spacing w:after="100"/>
        <w:jc w:val="both"/>
      </w:pPr>
      <w:r>
        <w:rPr/>
        <w:t xml:space="preserve">Industri juga bergeser ke manufaktur yang berpusat pada manusia (Breque et al., 2021). Ini bukan slogan bagi TMMIN: 31% operator di area pilot sering mengabaikan </w:t>
      </w:r>
      <w:r>
        <w:rPr>
          <w:i/>
          <w:iCs/>
        </w:rPr>
        <w:t xml:space="preserve">alert</w:t>
      </w:r>
      <w:r>
        <w:rPr/>
        <w:t xml:space="preserve"> otomatis, dan teknologi yang tidak dipercaya penggunanya tidak menghasilkan perbaikan.</w:t>
      </w:r>
    </w:p>
    <w:p>
      <w:pPr>
        <w:pStyle w:val="Heading2"/>
        <w:keepNext/>
        <w:spacing w:before="160" w:after="60"/>
      </w:pPr>
      <w:r>
        <w:rPr/>
        <w:t xml:space="preserve">1.3 Issue Tree</w:t>
      </w:r>
    </w:p>
    <w:p>
      <w:pPr>
        <w:spacing w:after="100"/>
        <w:jc w:val="both"/>
      </w:pPr>
      <w:r>
        <w:rPr/>
        <w:t xml:space="preserve">Pertanyaan kunci dipecah secara MECE (Minto, 2009) menjadi posisi hari ini (A biaya, B kualitas), biaya masa depan setiap varian (C), dan laju perbaikan (D). Cabang A mengikuti lima komponen biaya konversi di Exhibit 9, sehingga tidak ada komponen yang terlewat atau terhitung ganda, dan setiap ujung cabang adalah indikator terukur (Gambar 1.1).</w:t>
      </w:r>
    </w:p>
    <w:p>
      <w:pPr>
        <w:spacing w:after="100"/>
        <w:jc w:val="both"/>
      </w:pPr>
      <w:r>
        <w:rPr/>
        <w:t xml:space="preserve">Ketiga belas indikator internal yang punya data 2023 dan 2025 semuanya memburuk, dan tiga temuan menyusul. </w:t>
      </w:r>
      <w:r>
        <w:rPr>
          <w:b/>
          <w:bCs/>
        </w:rPr>
        <w:t xml:space="preserve">Pertama</w:t>
      </w:r>
      <w:r>
        <w:rPr/>
        <w:t xml:space="preserve">, masalahnya adalah kecepatan: selisih melebar 5,5 poin per tahun, sekitar 52% karena biaya TMMIN naik dan sisanya karena pesaing makin murah. </w:t>
      </w:r>
      <w:r>
        <w:rPr>
          <w:b/>
          <w:bCs/>
        </w:rPr>
        <w:t xml:space="preserve">Kedua</w:t>
      </w:r>
      <w:r>
        <w:rPr/>
        <w:t xml:space="preserve">, kembali ke kinerja 2023 hanya menutup 11%–19% selisih, karena sebagian besar kenaikan biaya berasal dari eskalasi upah dan energi (berdasarkan asumsi porsi biaya tim). </w:t>
      </w:r>
      <w:r>
        <w:rPr>
          <w:b/>
          <w:bCs/>
        </w:rPr>
        <w:t xml:space="preserve">Ketiga</w:t>
      </w:r>
      <w:r>
        <w:rPr/>
        <w:t xml:space="preserve">, ide yang diimplementasikan per engineer turun 38%, jauh lebih dalam daripada waktu perbaikan (−11%). Pola ini adalah </w:t>
      </w:r>
      <w:r>
        <w:rPr>
          <w:i/>
          <w:iCs/>
        </w:rPr>
        <w:t xml:space="preserve">capability trap</w:t>
      </w:r>
      <w:r>
        <w:rPr/>
        <w:t xml:space="preserve"> (Repenning &amp; Sterman, 2001): waktu tersedot untuk memadamkan masalah berulang (65% waktu engineer), sehingga kemampuan memperbaiki terus menurun.</w:t>
      </w:r>
    </w:p>
    <w:p>
      <w:pPr>
        <w:keepNext/>
        <w:spacing w:before="60" w:after="20" w:line="240" w:lineRule="auto"/>
        <w:jc w:val="center"/>
      </w:pPr>
      <w:r>
        <w:drawing>
          <wp:inline xmlns:a="http://schemas.openxmlformats.org/drawingml/2006/main" xmlns:pic="http://schemas.openxmlformats.org/drawingml/2006/picture">
            <wp:extent cx="5688000" cy="3342084"/>
            <wp:docPr id="2" name="Picture 2"/>
            <wp:cNvGraphicFramePr>
              <a:graphicFrameLocks noChangeAspect="1"/>
            </wp:cNvGraphicFramePr>
            <a:graphic>
              <a:graphicData uri="http://schemas.openxmlformats.org/drawingml/2006/picture">
                <pic:pic>
                  <pic:nvPicPr>
                    <pic:cNvPr id="0" name="fig_pi_issuetree_compact.png"/>
                    <pic:cNvPicPr/>
                  </pic:nvPicPr>
                  <pic:blipFill>
                    <a:blip r:embed="rId10"/>
                    <a:stretch>
                      <a:fillRect/>
                    </a:stretch>
                  </pic:blipFill>
                  <pic:spPr>
                    <a:xfrm>
                      <a:off x="0" y="0"/>
                      <a:ext cx="5688000" cy="3342084"/>
                    </a:xfrm>
                    <a:prstGeom prst="rect"/>
                  </pic:spPr>
                </pic:pic>
              </a:graphicData>
            </a:graphic>
          </wp:inline>
        </w:drawing>
      </w:r>
    </w:p>
    <w:p>
      <w:pPr>
        <w:spacing w:after="100"/>
      </w:pPr>
      <w:r>
        <w:rPr>
          <w:b/>
          <w:bCs/>
          <w:color w:val="7A8494"/>
          <w:sz w:val="17"/>
          <w:szCs w:val="17"/>
        </w:rPr>
        <w:t xml:space="preserve">Gambar 1.1</w:t>
      </w:r>
      <w:r>
        <w:rPr>
          <w:color w:val="7A8494"/>
          <w:sz w:val="17"/>
          <w:szCs w:val="17"/>
        </w:rPr>
        <w:t xml:space="preserve"> Issue tree daya saing biaya dan kualitas TMMIN (angka 2023 → 2025). Sumber: AKTI &amp; TMMIN (2026), Exhibit 1–9; olahan tim.</w:t>
      </w:r>
    </w:p>
    <w:p>
      <w:pPr>
        <w:pStyle w:val="Heading2"/>
        <w:keepNext/>
        <w:spacing w:before="160" w:after="60"/>
      </w:pPr>
      <w:r>
        <w:rPr/>
        <w:t xml:space="preserve">1.4 Gap Analysis</w:t>
      </w:r>
    </w:p>
    <w:p>
      <w:pPr>
        <w:spacing w:after="100"/>
        <w:jc w:val="both"/>
      </w:pPr>
      <w:r>
        <w:rPr/>
        <w:t xml:space="preserve">Setiap proses dinilai dampaknya terhadap biaya, kualitas, dan fleksibilitas, lalu dikalikan celah maturitasnya (4 dikurangi level otomasi). Inspeksi kualitas dan integrasi data mendapat skor tertinggi dan masuk tiga besar di 27 dari 27 kombinasi bobot, disusul final assembly (21/27). Keduanya bukan proses produksi, melainkan titik temu tempat sinyal antarproses seharusnya mengalir.</w:t>
      </w:r>
    </w:p>
    <w:p>
      <w:pPr>
        <w:keepNext/>
        <w:spacing w:before="80" w:after="40"/>
      </w:pPr>
      <w:r>
        <w:rPr>
          <w:b/>
          <w:bCs/>
          <w:color w:val="1F2F6B"/>
          <w:sz w:val="18"/>
          <w:szCs w:val="18"/>
        </w:rPr>
        <w:t xml:space="preserve">Tabel 1.1</w:t>
      </w:r>
      <w:r>
        <w:rPr>
          <w:color w:val="1F2F6B"/>
          <w:sz w:val="18"/>
          <w:szCs w:val="18"/>
        </w:rPr>
        <w:t xml:space="preserve"> Celah per dimensi</w:t>
      </w:r>
    </w:p>
    <w:tbl>
      <w:tblPr>
        <w:tblW w:type="dxa" w:w="9638"/>
        <w:tblLayout w:type="fixed"/>
      </w:tblPr>
      <w:tblGrid>
        <w:gridCol w:w="1693"/>
        <w:gridCol w:w="3777"/>
        <w:gridCol w:w="2865"/>
        <w:gridCol w:w="1303"/>
      </w:tblGrid>
      <w:tr>
        <w:trPr>
          <w:cantSplit/>
          <w:tblHeader/>
        </w:trPr>
        <w:tc>
          <w:tcPr>
            <w:tcW w:type="dxa" w:w="1693"/>
            <w:tcBorders>
              <w:top w:val="single" w:color="D7DCE4" w:sz="4"/>
              <w:left w:val="single" w:color="D7DCE4" w:sz="4"/>
              <w:bottom w:val="single" w:color="D7DCE4" w:sz="4"/>
              <w:right w:val="single" w:color="D7DCE4" w:sz="4"/>
            </w:tcBorders>
            <w:shd w:val="clear" w:color="auto" w:fill="1F2F6B"/>
            <w:tcMar>
              <w:top w:type="dxa" w:w="30"/>
              <w:left w:type="dxa" w:w="90"/>
              <w:bottom w:type="dxa" w:w="30"/>
              <w:right w:type="dxa" w:w="90"/>
            </w:tcMar>
          </w:tcPr>
          <w:p>
            <w:pPr>
              <w:spacing w:after="0" w:line="240" w:lineRule="auto"/>
            </w:pPr>
            <w:r>
              <w:rPr>
                <w:b/>
                <w:bCs/>
                <w:color w:val="FFFFFF"/>
                <w:sz w:val="17"/>
                <w:szCs w:val="17"/>
              </w:rPr>
              <w:t xml:space="preserve">Dimensi</w:t>
            </w:r>
          </w:p>
        </w:tc>
        <w:tc>
          <w:tcPr>
            <w:tcW w:type="dxa" w:w="3777"/>
            <w:tcBorders>
              <w:top w:val="single" w:color="D7DCE4" w:sz="4"/>
              <w:left w:val="single" w:color="D7DCE4" w:sz="4"/>
              <w:bottom w:val="single" w:color="D7DCE4" w:sz="4"/>
              <w:right w:val="single" w:color="D7DCE4" w:sz="4"/>
            </w:tcBorders>
            <w:shd w:val="clear" w:color="auto" w:fill="1F2F6B"/>
            <w:tcMar>
              <w:top w:type="dxa" w:w="30"/>
              <w:left w:type="dxa" w:w="90"/>
              <w:bottom w:type="dxa" w:w="30"/>
              <w:right w:type="dxa" w:w="90"/>
            </w:tcMar>
          </w:tcPr>
          <w:p>
            <w:pPr>
              <w:spacing w:after="0" w:line="240" w:lineRule="auto"/>
            </w:pPr>
            <w:r>
              <w:rPr>
                <w:b/>
                <w:bCs/>
                <w:color w:val="FFFFFF"/>
                <w:sz w:val="17"/>
                <w:szCs w:val="17"/>
              </w:rPr>
              <w:t xml:space="preserve">Kondisi 2025</w:t>
            </w:r>
          </w:p>
        </w:tc>
        <w:tc>
          <w:tcPr>
            <w:tcW w:type="dxa" w:w="2865"/>
            <w:tcBorders>
              <w:top w:val="single" w:color="D7DCE4" w:sz="4"/>
              <w:left w:val="single" w:color="D7DCE4" w:sz="4"/>
              <w:bottom w:val="single" w:color="D7DCE4" w:sz="4"/>
              <w:right w:val="single" w:color="D7DCE4" w:sz="4"/>
            </w:tcBorders>
            <w:shd w:val="clear" w:color="auto" w:fill="1F2F6B"/>
            <w:tcMar>
              <w:top w:type="dxa" w:w="30"/>
              <w:left w:type="dxa" w:w="90"/>
              <w:bottom w:type="dxa" w:w="30"/>
              <w:right w:type="dxa" w:w="90"/>
            </w:tcMar>
          </w:tcPr>
          <w:p>
            <w:pPr>
              <w:spacing w:after="0" w:line="240" w:lineRule="auto"/>
            </w:pPr>
            <w:r>
              <w:rPr>
                <w:b/>
                <w:bCs/>
                <w:color w:val="FFFFFF"/>
                <w:sz w:val="17"/>
                <w:szCs w:val="17"/>
              </w:rPr>
              <w:t xml:space="preserve">Titik acuan</w:t>
            </w:r>
          </w:p>
        </w:tc>
        <w:tc>
          <w:tcPr>
            <w:tcW w:type="dxa" w:w="1303"/>
            <w:tcBorders>
              <w:top w:val="single" w:color="D7DCE4" w:sz="4"/>
              <w:left w:val="single" w:color="D7DCE4" w:sz="4"/>
              <w:bottom w:val="single" w:color="D7DCE4" w:sz="4"/>
              <w:right w:val="single" w:color="D7DCE4" w:sz="4"/>
            </w:tcBorders>
            <w:shd w:val="clear" w:color="auto" w:fill="1F2F6B"/>
            <w:tcMar>
              <w:top w:type="dxa" w:w="30"/>
              <w:left w:type="dxa" w:w="90"/>
              <w:bottom w:type="dxa" w:w="30"/>
              <w:right w:type="dxa" w:w="90"/>
            </w:tcMar>
          </w:tcPr>
          <w:p>
            <w:pPr>
              <w:spacing w:after="0" w:line="240" w:lineRule="auto"/>
            </w:pPr>
            <w:r>
              <w:rPr>
                <w:b/>
                <w:bCs/>
                <w:color w:val="FFFFFF"/>
                <w:sz w:val="17"/>
                <w:szCs w:val="17"/>
              </w:rPr>
              <w:t xml:space="preserve">Prioritas</w:t>
            </w:r>
          </w:p>
        </w:tc>
      </w:tr>
      <w:tr>
        <w:trPr>
          <w:cantSplit/>
        </w:trPr>
        <w:tc>
          <w:tcPr>
            <w:tcW w:type="dxa" w:w="1693"/>
            <w:tcBorders>
              <w:top w:val="single" w:color="D7DCE4" w:sz="4"/>
              <w:left w:val="single" w:color="D7DCE4" w:sz="4"/>
              <w:bottom w:val="single" w:color="D7DCE4" w:sz="4"/>
              <w:right w:val="single" w:color="D7DCE4" w:sz="4"/>
            </w:tcBorders>
            <w:shd w:val="clear" w:color="auto" w:fill="FFFFFF"/>
            <w:tcMar>
              <w:top w:type="dxa" w:w="30"/>
              <w:left w:type="dxa" w:w="90"/>
              <w:bottom w:type="dxa" w:w="30"/>
              <w:right w:type="dxa" w:w="90"/>
            </w:tcMar>
          </w:tcPr>
          <w:p>
            <w:pPr>
              <w:spacing w:after="0" w:line="240" w:lineRule="auto"/>
            </w:pPr>
            <w:r>
              <w:rPr>
                <w:b/>
                <w:bCs/>
                <w:color w:val="1E2A3B"/>
                <w:sz w:val="17"/>
                <w:szCs w:val="17"/>
              </w:rPr>
              <w:t xml:space="preserve">Biaya</w:t>
            </w:r>
          </w:p>
        </w:tc>
        <w:tc>
          <w:tcPr>
            <w:tcW w:type="dxa" w:w="3777"/>
            <w:tcBorders>
              <w:top w:val="single" w:color="D7DCE4" w:sz="4"/>
              <w:left w:val="single" w:color="D7DCE4" w:sz="4"/>
              <w:bottom w:val="single" w:color="D7DCE4" w:sz="4"/>
              <w:right w:val="single" w:color="D7DCE4" w:sz="4"/>
            </w:tcBorders>
            <w:shd w:val="clear" w:color="auto" w:fill="FFFFFF"/>
            <w:tcMar>
              <w:top w:type="dxa" w:w="30"/>
              <w:left w:type="dxa" w:w="90"/>
              <w:bottom w:type="dxa" w:w="30"/>
              <w:right w:type="dxa" w:w="90"/>
            </w:tcMar>
          </w:tcPr>
          <w:p>
            <w:pPr>
              <w:spacing w:after="0" w:line="240" w:lineRule="auto"/>
            </w:pPr>
            <w:r>
              <w:rPr>
                <w:color w:val="1E2A3B"/>
                <w:sz w:val="17"/>
                <w:szCs w:val="17"/>
              </w:rPr>
              <w:t xml:space="preserve">Indeks 106</w:t>
            </w:r>
          </w:p>
        </w:tc>
        <w:tc>
          <w:tcPr>
            <w:tcW w:type="dxa" w:w="2865"/>
            <w:tcBorders>
              <w:top w:val="single" w:color="D7DCE4" w:sz="4"/>
              <w:left w:val="single" w:color="D7DCE4" w:sz="4"/>
              <w:bottom w:val="single" w:color="D7DCE4" w:sz="4"/>
              <w:right w:val="single" w:color="D7DCE4" w:sz="4"/>
            </w:tcBorders>
            <w:shd w:val="clear" w:color="auto" w:fill="FFFFFF"/>
            <w:tcMar>
              <w:top w:type="dxa" w:w="30"/>
              <w:left w:type="dxa" w:w="90"/>
              <w:bottom w:type="dxa" w:w="30"/>
              <w:right w:type="dxa" w:w="90"/>
            </w:tcMar>
          </w:tcPr>
          <w:p>
            <w:pPr>
              <w:spacing w:after="0" w:line="240" w:lineRule="auto"/>
            </w:pPr>
            <w:r>
              <w:rPr>
                <w:color w:val="1E2A3B"/>
                <w:sz w:val="17"/>
                <w:szCs w:val="17"/>
              </w:rPr>
              <w:t xml:space="preserve">89 (pemain baru, masih turun)</w:t>
            </w:r>
          </w:p>
        </w:tc>
        <w:tc>
          <w:tcPr>
            <w:tcW w:type="dxa" w:w="1303"/>
            <w:tcBorders>
              <w:top w:val="single" w:color="D7DCE4" w:sz="4"/>
              <w:left w:val="single" w:color="D7DCE4" w:sz="4"/>
              <w:bottom w:val="single" w:color="D7DCE4" w:sz="4"/>
              <w:right w:val="single" w:color="D7DCE4" w:sz="4"/>
            </w:tcBorders>
            <w:shd w:val="clear" w:color="auto" w:fill="F9DCC8"/>
            <w:tcMar>
              <w:top w:type="dxa" w:w="30"/>
              <w:left w:type="dxa" w:w="90"/>
              <w:bottom w:type="dxa" w:w="30"/>
              <w:right w:type="dxa" w:w="90"/>
            </w:tcMar>
          </w:tcPr>
          <w:p>
            <w:pPr>
              <w:spacing w:after="0" w:line="240" w:lineRule="auto"/>
            </w:pPr>
            <w:r>
              <w:rPr>
                <w:color w:val="1E2A3B"/>
                <w:sz w:val="17"/>
                <w:szCs w:val="17"/>
              </w:rPr>
              <w:t xml:space="preserve">Sangat tinggi</w:t>
            </w:r>
          </w:p>
        </w:tc>
      </w:tr>
      <w:tr>
        <w:trPr>
          <w:cantSplit/>
        </w:trPr>
        <w:tc>
          <w:tcPr>
            <w:tcW w:type="dxa" w:w="1693"/>
            <w:tcBorders>
              <w:top w:val="single" w:color="D7DCE4" w:sz="4"/>
              <w:left w:val="single" w:color="D7DCE4" w:sz="4"/>
              <w:bottom w:val="single" w:color="D7DCE4" w:sz="4"/>
              <w:right w:val="single" w:color="D7DCE4" w:sz="4"/>
            </w:tcBorders>
            <w:shd w:val="clear" w:color="auto" w:fill="F5F6F9"/>
            <w:tcMar>
              <w:top w:type="dxa" w:w="30"/>
              <w:left w:type="dxa" w:w="90"/>
              <w:bottom w:type="dxa" w:w="30"/>
              <w:right w:type="dxa" w:w="90"/>
            </w:tcMar>
          </w:tcPr>
          <w:p>
            <w:pPr>
              <w:spacing w:after="0" w:line="240" w:lineRule="auto"/>
            </w:pPr>
            <w:r>
              <w:rPr>
                <w:b/>
                <w:bCs/>
                <w:color w:val="1E2A3B"/>
                <w:sz w:val="17"/>
                <w:szCs w:val="17"/>
              </w:rPr>
              <w:t xml:space="preserve">Kualitas</w:t>
            </w:r>
          </w:p>
        </w:tc>
        <w:tc>
          <w:tcPr>
            <w:tcW w:type="dxa" w:w="3777"/>
            <w:tcBorders>
              <w:top w:val="single" w:color="D7DCE4" w:sz="4"/>
              <w:left w:val="single" w:color="D7DCE4" w:sz="4"/>
              <w:bottom w:val="single" w:color="D7DCE4" w:sz="4"/>
              <w:right w:val="single" w:color="D7DCE4" w:sz="4"/>
            </w:tcBorders>
            <w:shd w:val="clear" w:color="auto" w:fill="F5F6F9"/>
            <w:tcMar>
              <w:top w:type="dxa" w:w="30"/>
              <w:left w:type="dxa" w:w="90"/>
              <w:bottom w:type="dxa" w:w="30"/>
              <w:right w:type="dxa" w:w="90"/>
            </w:tcMar>
          </w:tcPr>
          <w:p>
            <w:pPr>
              <w:spacing w:after="0" w:line="240" w:lineRule="auto"/>
            </w:pPr>
            <w:r>
              <w:rPr>
                <w:color w:val="1E2A3B"/>
                <w:sz w:val="17"/>
                <w:szCs w:val="17"/>
              </w:rPr>
              <w:t xml:space="preserve">Scrap 108; cacat lolos 103</w:t>
            </w:r>
          </w:p>
        </w:tc>
        <w:tc>
          <w:tcPr>
            <w:tcW w:type="dxa" w:w="2865"/>
            <w:tcBorders>
              <w:top w:val="single" w:color="D7DCE4" w:sz="4"/>
              <w:left w:val="single" w:color="D7DCE4" w:sz="4"/>
              <w:bottom w:val="single" w:color="D7DCE4" w:sz="4"/>
              <w:right w:val="single" w:color="D7DCE4" w:sz="4"/>
            </w:tcBorders>
            <w:shd w:val="clear" w:color="auto" w:fill="F5F6F9"/>
            <w:tcMar>
              <w:top w:type="dxa" w:w="30"/>
              <w:left w:type="dxa" w:w="90"/>
              <w:bottom w:type="dxa" w:w="30"/>
              <w:right w:type="dxa" w:w="90"/>
            </w:tcMar>
          </w:tcPr>
          <w:p>
            <w:pPr>
              <w:spacing w:after="0" w:line="240" w:lineRule="auto"/>
            </w:pPr>
            <w:r>
              <w:rPr>
                <w:color w:val="1E2A3B"/>
                <w:sz w:val="17"/>
                <w:szCs w:val="17"/>
              </w:rPr>
              <w:t xml:space="preserve">100 (level 2023)</w:t>
            </w:r>
          </w:p>
        </w:tc>
        <w:tc>
          <w:tcPr>
            <w:tcW w:type="dxa" w:w="1303"/>
            <w:tcBorders>
              <w:top w:val="single" w:color="D7DCE4" w:sz="4"/>
              <w:left w:val="single" w:color="D7DCE4" w:sz="4"/>
              <w:bottom w:val="single" w:color="D7DCE4" w:sz="4"/>
              <w:right w:val="single" w:color="D7DCE4" w:sz="4"/>
            </w:tcBorders>
            <w:shd w:val="clear" w:color="auto" w:fill="FCEBD9"/>
            <w:tcMar>
              <w:top w:type="dxa" w:w="30"/>
              <w:left w:type="dxa" w:w="90"/>
              <w:bottom w:type="dxa" w:w="30"/>
              <w:right w:type="dxa" w:w="90"/>
            </w:tcMar>
          </w:tcPr>
          <w:p>
            <w:pPr>
              <w:spacing w:after="0" w:line="240" w:lineRule="auto"/>
            </w:pPr>
            <w:r>
              <w:rPr>
                <w:color w:val="1E2A3B"/>
                <w:sz w:val="17"/>
                <w:szCs w:val="17"/>
              </w:rPr>
              <w:t xml:space="preserve">Tinggi</w:t>
            </w:r>
          </w:p>
        </w:tc>
      </w:tr>
      <w:tr>
        <w:trPr>
          <w:cantSplit/>
        </w:trPr>
        <w:tc>
          <w:tcPr>
            <w:tcW w:type="dxa" w:w="1693"/>
            <w:tcBorders>
              <w:top w:val="single" w:color="D7DCE4" w:sz="4"/>
              <w:left w:val="single" w:color="D7DCE4" w:sz="4"/>
              <w:bottom w:val="single" w:color="D7DCE4" w:sz="4"/>
              <w:right w:val="single" w:color="D7DCE4" w:sz="4"/>
            </w:tcBorders>
            <w:shd w:val="clear" w:color="auto" w:fill="FFFFFF"/>
            <w:tcMar>
              <w:top w:type="dxa" w:w="30"/>
              <w:left w:type="dxa" w:w="90"/>
              <w:bottom w:type="dxa" w:w="30"/>
              <w:right w:type="dxa" w:w="90"/>
            </w:tcMar>
          </w:tcPr>
          <w:p>
            <w:pPr>
              <w:spacing w:after="0" w:line="240" w:lineRule="auto"/>
            </w:pPr>
            <w:r>
              <w:rPr>
                <w:b/>
                <w:bCs/>
                <w:color w:val="1E2A3B"/>
                <w:sz w:val="17"/>
                <w:szCs w:val="17"/>
              </w:rPr>
              <w:t xml:space="preserve">Fleksibilitas</w:t>
            </w:r>
          </w:p>
        </w:tc>
        <w:tc>
          <w:tcPr>
            <w:tcW w:type="dxa" w:w="3777"/>
            <w:tcBorders>
              <w:top w:val="single" w:color="D7DCE4" w:sz="4"/>
              <w:left w:val="single" w:color="D7DCE4" w:sz="4"/>
              <w:bottom w:val="single" w:color="D7DCE4" w:sz="4"/>
              <w:right w:val="single" w:color="D7DCE4" w:sz="4"/>
            </w:tcBorders>
            <w:shd w:val="clear" w:color="auto" w:fill="FFFFFF"/>
            <w:tcMar>
              <w:top w:type="dxa" w:w="30"/>
              <w:left w:type="dxa" w:w="90"/>
              <w:bottom w:type="dxa" w:w="30"/>
              <w:right w:type="dxa" w:w="90"/>
            </w:tcMar>
          </w:tcPr>
          <w:p>
            <w:pPr>
              <w:spacing w:after="0" w:line="240" w:lineRule="auto"/>
            </w:pPr>
            <w:r>
              <w:rPr>
                <w:color w:val="1E2A3B"/>
                <w:sz w:val="17"/>
                <w:szCs w:val="17"/>
              </w:rPr>
              <w:t xml:space="preserve">9 bulan per varian</w:t>
            </w:r>
          </w:p>
        </w:tc>
        <w:tc>
          <w:tcPr>
            <w:tcW w:type="dxa" w:w="2865"/>
            <w:tcBorders>
              <w:top w:val="single" w:color="D7DCE4" w:sz="4"/>
              <w:left w:val="single" w:color="D7DCE4" w:sz="4"/>
              <w:bottom w:val="single" w:color="D7DCE4" w:sz="4"/>
              <w:right w:val="single" w:color="D7DCE4" w:sz="4"/>
            </w:tcBorders>
            <w:shd w:val="clear" w:color="auto" w:fill="FFFFFF"/>
            <w:tcMar>
              <w:top w:type="dxa" w:w="30"/>
              <w:left w:type="dxa" w:w="90"/>
              <w:bottom w:type="dxa" w:w="30"/>
              <w:right w:type="dxa" w:w="90"/>
            </w:tcMar>
          </w:tcPr>
          <w:p>
            <w:pPr>
              <w:spacing w:after="0" w:line="240" w:lineRule="auto"/>
            </w:pPr>
            <w:r>
              <w:rPr>
                <w:color w:val="1E2A3B"/>
                <w:sz w:val="17"/>
                <w:szCs w:val="17"/>
              </w:rPr>
              <w:t xml:space="preserve">8 bulan (2023)</w:t>
            </w:r>
          </w:p>
        </w:tc>
        <w:tc>
          <w:tcPr>
            <w:tcW w:type="dxa" w:w="1303"/>
            <w:tcBorders>
              <w:top w:val="single" w:color="D7DCE4" w:sz="4"/>
              <w:left w:val="single" w:color="D7DCE4" w:sz="4"/>
              <w:bottom w:val="single" w:color="D7DCE4" w:sz="4"/>
              <w:right w:val="single" w:color="D7DCE4" w:sz="4"/>
            </w:tcBorders>
            <w:shd w:val="clear" w:color="auto" w:fill="FCEBD9"/>
            <w:tcMar>
              <w:top w:type="dxa" w:w="30"/>
              <w:left w:type="dxa" w:w="90"/>
              <w:bottom w:type="dxa" w:w="30"/>
              <w:right w:type="dxa" w:w="90"/>
            </w:tcMar>
          </w:tcPr>
          <w:p>
            <w:pPr>
              <w:spacing w:after="0" w:line="240" w:lineRule="auto"/>
            </w:pPr>
            <w:r>
              <w:rPr>
                <w:color w:val="1E2A3B"/>
                <w:sz w:val="17"/>
                <w:szCs w:val="17"/>
              </w:rPr>
              <w:t xml:space="preserve">Tinggi</w:t>
            </w:r>
          </w:p>
        </w:tc>
      </w:tr>
      <w:tr>
        <w:trPr>
          <w:cantSplit/>
        </w:trPr>
        <w:tc>
          <w:tcPr>
            <w:tcW w:type="dxa" w:w="1693"/>
            <w:tcBorders>
              <w:top w:val="single" w:color="D7DCE4" w:sz="4"/>
              <w:left w:val="single" w:color="D7DCE4" w:sz="4"/>
              <w:bottom w:val="single" w:color="D7DCE4" w:sz="4"/>
              <w:right w:val="single" w:color="D7DCE4" w:sz="4"/>
            </w:tcBorders>
            <w:shd w:val="clear" w:color="auto" w:fill="F5F6F9"/>
            <w:tcMar>
              <w:top w:type="dxa" w:w="30"/>
              <w:left w:type="dxa" w:w="90"/>
              <w:bottom w:type="dxa" w:w="30"/>
              <w:right w:type="dxa" w:w="90"/>
            </w:tcMar>
          </w:tcPr>
          <w:p>
            <w:pPr>
              <w:spacing w:after="0" w:line="240" w:lineRule="auto"/>
            </w:pPr>
            <w:r>
              <w:rPr>
                <w:b/>
                <w:bCs/>
                <w:color w:val="1E2A3B"/>
                <w:sz w:val="17"/>
                <w:szCs w:val="17"/>
              </w:rPr>
              <w:t xml:space="preserve">Integrasi</w:t>
            </w:r>
          </w:p>
        </w:tc>
        <w:tc>
          <w:tcPr>
            <w:tcW w:type="dxa" w:w="3777"/>
            <w:tcBorders>
              <w:top w:val="single" w:color="D7DCE4" w:sz="4"/>
              <w:left w:val="single" w:color="D7DCE4" w:sz="4"/>
              <w:bottom w:val="single" w:color="D7DCE4" w:sz="4"/>
              <w:right w:val="single" w:color="D7DCE4" w:sz="4"/>
            </w:tcBorders>
            <w:shd w:val="clear" w:color="auto" w:fill="F5F6F9"/>
            <w:tcMar>
              <w:top w:type="dxa" w:w="30"/>
              <w:left w:type="dxa" w:w="90"/>
              <w:bottom w:type="dxa" w:w="30"/>
              <w:right w:type="dxa" w:w="90"/>
            </w:tcMar>
          </w:tcPr>
          <w:p>
            <w:pPr>
              <w:spacing w:after="0" w:line="240" w:lineRule="auto"/>
            </w:pPr>
            <w:r>
              <w:rPr>
                <w:color w:val="1E2A3B"/>
                <w:sz w:val="17"/>
                <w:szCs w:val="17"/>
              </w:rPr>
              <w:t xml:space="preserve">Inspeksi dan data Level 1; peralatan point-to-point</w:t>
            </w:r>
          </w:p>
        </w:tc>
        <w:tc>
          <w:tcPr>
            <w:tcW w:type="dxa" w:w="2865"/>
            <w:tcBorders>
              <w:top w:val="single" w:color="D7DCE4" w:sz="4"/>
              <w:left w:val="single" w:color="D7DCE4" w:sz="4"/>
              <w:bottom w:val="single" w:color="D7DCE4" w:sz="4"/>
              <w:right w:val="single" w:color="D7DCE4" w:sz="4"/>
            </w:tcBorders>
            <w:shd w:val="clear" w:color="auto" w:fill="F5F6F9"/>
            <w:tcMar>
              <w:top w:type="dxa" w:w="30"/>
              <w:left w:type="dxa" w:w="90"/>
              <w:bottom w:type="dxa" w:w="30"/>
              <w:right w:type="dxa" w:w="90"/>
            </w:tcMar>
          </w:tcPr>
          <w:p>
            <w:pPr>
              <w:spacing w:after="0" w:line="240" w:lineRule="auto"/>
            </w:pPr>
            <w:r>
              <w:rPr>
                <w:color w:val="1E2A3B"/>
                <w:sz w:val="17"/>
                <w:szCs w:val="17"/>
              </w:rPr>
              <w:t xml:space="preserve">Level 4</w:t>
            </w:r>
          </w:p>
        </w:tc>
        <w:tc>
          <w:tcPr>
            <w:tcW w:type="dxa" w:w="1303"/>
            <w:tcBorders>
              <w:top w:val="single" w:color="D7DCE4" w:sz="4"/>
              <w:left w:val="single" w:color="D7DCE4" w:sz="4"/>
              <w:bottom w:val="single" w:color="D7DCE4" w:sz="4"/>
              <w:right w:val="single" w:color="D7DCE4" w:sz="4"/>
            </w:tcBorders>
            <w:shd w:val="clear" w:color="auto" w:fill="F9DCC8"/>
            <w:tcMar>
              <w:top w:type="dxa" w:w="30"/>
              <w:left w:type="dxa" w:w="90"/>
              <w:bottom w:type="dxa" w:w="30"/>
              <w:right w:type="dxa" w:w="90"/>
            </w:tcMar>
          </w:tcPr>
          <w:p>
            <w:pPr>
              <w:spacing w:after="0" w:line="240" w:lineRule="auto"/>
            </w:pPr>
            <w:r>
              <w:rPr>
                <w:color w:val="1E2A3B"/>
                <w:sz w:val="17"/>
                <w:szCs w:val="17"/>
              </w:rPr>
              <w:t xml:space="preserve">Sangat tinggi</w:t>
            </w:r>
          </w:p>
        </w:tc>
      </w:tr>
      <w:tr>
        <w:trPr>
          <w:cantSplit/>
        </w:trPr>
        <w:tc>
          <w:tcPr>
            <w:tcW w:type="dxa" w:w="1693"/>
            <w:tcBorders>
              <w:top w:val="single" w:color="D7DCE4" w:sz="4"/>
              <w:left w:val="single" w:color="D7DCE4" w:sz="4"/>
              <w:bottom w:val="single" w:color="D7DCE4" w:sz="4"/>
              <w:right w:val="single" w:color="D7DCE4" w:sz="4"/>
            </w:tcBorders>
            <w:shd w:val="clear" w:color="auto" w:fill="FFFFFF"/>
            <w:tcMar>
              <w:top w:type="dxa" w:w="30"/>
              <w:left w:type="dxa" w:w="90"/>
              <w:bottom w:type="dxa" w:w="30"/>
              <w:right w:type="dxa" w:w="90"/>
            </w:tcMar>
          </w:tcPr>
          <w:p>
            <w:pPr>
              <w:spacing w:after="0" w:line="240" w:lineRule="auto"/>
            </w:pPr>
            <w:r>
              <w:rPr>
                <w:b/>
                <w:bCs/>
                <w:color w:val="1E2A3B"/>
                <w:sz w:val="17"/>
                <w:szCs w:val="17"/>
              </w:rPr>
              <w:t xml:space="preserve">Pengetahuan</w:t>
            </w:r>
          </w:p>
        </w:tc>
        <w:tc>
          <w:tcPr>
            <w:tcW w:type="dxa" w:w="3777"/>
            <w:tcBorders>
              <w:top w:val="single" w:color="D7DCE4" w:sz="4"/>
              <w:left w:val="single" w:color="D7DCE4" w:sz="4"/>
              <w:bottom w:val="single" w:color="D7DCE4" w:sz="4"/>
              <w:right w:val="single" w:color="D7DCE4" w:sz="4"/>
            </w:tcBorders>
            <w:shd w:val="clear" w:color="auto" w:fill="FFFFFF"/>
            <w:tcMar>
              <w:top w:type="dxa" w:w="30"/>
              <w:left w:type="dxa" w:w="90"/>
              <w:bottom w:type="dxa" w:w="30"/>
              <w:right w:type="dxa" w:w="90"/>
            </w:tcMar>
          </w:tcPr>
          <w:p>
            <w:pPr>
              <w:spacing w:after="0" w:line="240" w:lineRule="auto"/>
            </w:pPr>
            <w:r>
              <w:rPr>
                <w:color w:val="1E2A3B"/>
                <w:sz w:val="17"/>
                <w:szCs w:val="17"/>
              </w:rPr>
              <w:t xml:space="preserve">48% bergantung senior; 33% terdokumentasi</w:t>
            </w:r>
          </w:p>
        </w:tc>
        <w:tc>
          <w:tcPr>
            <w:tcW w:type="dxa" w:w="2865"/>
            <w:tcBorders>
              <w:top w:val="single" w:color="D7DCE4" w:sz="4"/>
              <w:left w:val="single" w:color="D7DCE4" w:sz="4"/>
              <w:bottom w:val="single" w:color="D7DCE4" w:sz="4"/>
              <w:right w:val="single" w:color="D7DCE4" w:sz="4"/>
            </w:tcBorders>
            <w:shd w:val="clear" w:color="auto" w:fill="FFFFFF"/>
            <w:tcMar>
              <w:top w:type="dxa" w:w="30"/>
              <w:left w:type="dxa" w:w="90"/>
              <w:bottom w:type="dxa" w:w="30"/>
              <w:right w:type="dxa" w:w="90"/>
            </w:tcMar>
          </w:tcPr>
          <w:p>
            <w:pPr>
              <w:spacing w:after="0" w:line="240" w:lineRule="auto"/>
            </w:pPr>
            <w:r>
              <w:rPr>
                <w:color w:val="1E2A3B"/>
                <w:sz w:val="17"/>
                <w:szCs w:val="17"/>
              </w:rPr>
              <w:t xml:space="preserve">45% dan 35% (2023)</w:t>
            </w:r>
          </w:p>
        </w:tc>
        <w:tc>
          <w:tcPr>
            <w:tcW w:type="dxa" w:w="1303"/>
            <w:tcBorders>
              <w:top w:val="single" w:color="D7DCE4" w:sz="4"/>
              <w:left w:val="single" w:color="D7DCE4" w:sz="4"/>
              <w:bottom w:val="single" w:color="D7DCE4" w:sz="4"/>
              <w:right w:val="single" w:color="D7DCE4" w:sz="4"/>
            </w:tcBorders>
            <w:shd w:val="clear" w:color="auto" w:fill="FCEBD9"/>
            <w:tcMar>
              <w:top w:type="dxa" w:w="30"/>
              <w:left w:type="dxa" w:w="90"/>
              <w:bottom w:type="dxa" w:w="30"/>
              <w:right w:type="dxa" w:w="90"/>
            </w:tcMar>
          </w:tcPr>
          <w:p>
            <w:pPr>
              <w:spacing w:after="0" w:line="240" w:lineRule="auto"/>
            </w:pPr>
            <w:r>
              <w:rPr>
                <w:color w:val="1E2A3B"/>
                <w:sz w:val="17"/>
                <w:szCs w:val="17"/>
              </w:rPr>
              <w:t xml:space="preserve">Tinggi</w:t>
            </w:r>
          </w:p>
        </w:tc>
      </w:tr>
      <w:tr>
        <w:trPr>
          <w:cantSplit/>
        </w:trPr>
        <w:tc>
          <w:tcPr>
            <w:tcW w:type="dxa" w:w="1693"/>
            <w:tcBorders>
              <w:top w:val="single" w:color="D7DCE4" w:sz="4"/>
              <w:left w:val="single" w:color="D7DCE4" w:sz="4"/>
              <w:bottom w:val="single" w:color="D7DCE4" w:sz="4"/>
              <w:right w:val="single" w:color="D7DCE4" w:sz="4"/>
            </w:tcBorders>
            <w:shd w:val="clear" w:color="auto" w:fill="F5F6F9"/>
            <w:tcMar>
              <w:top w:type="dxa" w:w="30"/>
              <w:left w:type="dxa" w:w="90"/>
              <w:bottom w:type="dxa" w:w="30"/>
              <w:right w:type="dxa" w:w="90"/>
            </w:tcMar>
          </w:tcPr>
          <w:p>
            <w:pPr>
              <w:spacing w:after="0" w:line="240" w:lineRule="auto"/>
            </w:pPr>
            <w:r>
              <w:rPr>
                <w:b/>
                <w:bCs/>
                <w:color w:val="1E2A3B"/>
                <w:sz w:val="17"/>
                <w:szCs w:val="17"/>
              </w:rPr>
              <w:t xml:space="preserve">Kapabilitas digital</w:t>
            </w:r>
          </w:p>
        </w:tc>
        <w:tc>
          <w:tcPr>
            <w:tcW w:type="dxa" w:w="3777"/>
            <w:tcBorders>
              <w:top w:val="single" w:color="D7DCE4" w:sz="4"/>
              <w:left w:val="single" w:color="D7DCE4" w:sz="4"/>
              <w:bottom w:val="single" w:color="D7DCE4" w:sz="4"/>
              <w:right w:val="single" w:color="D7DCE4" w:sz="4"/>
            </w:tcBorders>
            <w:shd w:val="clear" w:color="auto" w:fill="F5F6F9"/>
            <w:tcMar>
              <w:top w:type="dxa" w:w="30"/>
              <w:left w:type="dxa" w:w="90"/>
              <w:bottom w:type="dxa" w:w="30"/>
              <w:right w:type="dxa" w:w="90"/>
            </w:tcMar>
          </w:tcPr>
          <w:p>
            <w:pPr>
              <w:spacing w:after="0" w:line="240" w:lineRule="auto"/>
            </w:pPr>
            <w:r>
              <w:rPr>
                <w:color w:val="1E2A3B"/>
                <w:sz w:val="17"/>
                <w:szCs w:val="17"/>
              </w:rPr>
              <w:t xml:space="preserve">Software &amp; AI Level 3+ 2/30</w:t>
            </w:r>
          </w:p>
        </w:tc>
        <w:tc>
          <w:tcPr>
            <w:tcW w:type="dxa" w:w="2865"/>
            <w:tcBorders>
              <w:top w:val="single" w:color="D7DCE4" w:sz="4"/>
              <w:left w:val="single" w:color="D7DCE4" w:sz="4"/>
              <w:bottom w:val="single" w:color="D7DCE4" w:sz="4"/>
              <w:right w:val="single" w:color="D7DCE4" w:sz="4"/>
            </w:tcBorders>
            <w:shd w:val="clear" w:color="auto" w:fill="F5F6F9"/>
            <w:tcMar>
              <w:top w:type="dxa" w:w="30"/>
              <w:left w:type="dxa" w:w="90"/>
              <w:bottom w:type="dxa" w:w="30"/>
              <w:right w:type="dxa" w:w="90"/>
            </w:tcMar>
          </w:tcPr>
          <w:p>
            <w:pPr>
              <w:spacing w:after="0" w:line="240" w:lineRule="auto"/>
            </w:pPr>
            <w:r>
              <w:rPr>
                <w:color w:val="1E2A3B"/>
                <w:sz w:val="17"/>
                <w:szCs w:val="17"/>
              </w:rPr>
              <w:t xml:space="preserve">19/30 (setara mekanikal)</w:t>
            </w:r>
          </w:p>
        </w:tc>
        <w:tc>
          <w:tcPr>
            <w:tcW w:type="dxa" w:w="1303"/>
            <w:tcBorders>
              <w:top w:val="single" w:color="D7DCE4" w:sz="4"/>
              <w:left w:val="single" w:color="D7DCE4" w:sz="4"/>
              <w:bottom w:val="single" w:color="D7DCE4" w:sz="4"/>
              <w:right w:val="single" w:color="D7DCE4" w:sz="4"/>
            </w:tcBorders>
            <w:shd w:val="clear" w:color="auto" w:fill="F9DCC8"/>
            <w:tcMar>
              <w:top w:type="dxa" w:w="30"/>
              <w:left w:type="dxa" w:w="90"/>
              <w:bottom w:type="dxa" w:w="30"/>
              <w:right w:type="dxa" w:w="90"/>
            </w:tcMar>
          </w:tcPr>
          <w:p>
            <w:pPr>
              <w:spacing w:after="0" w:line="240" w:lineRule="auto"/>
            </w:pPr>
            <w:r>
              <w:rPr>
                <w:color w:val="1E2A3B"/>
                <w:sz w:val="17"/>
                <w:szCs w:val="17"/>
              </w:rPr>
              <w:t xml:space="preserve">Sangat tinggi</w:t>
            </w:r>
          </w:p>
        </w:tc>
      </w:tr>
      <w:tr>
        <w:trPr>
          <w:cantSplit/>
        </w:trPr>
        <w:tc>
          <w:tcPr>
            <w:tcW w:type="dxa" w:w="1693"/>
            <w:tcBorders>
              <w:top w:val="single" w:color="D7DCE4" w:sz="4"/>
              <w:left w:val="single" w:color="D7DCE4" w:sz="4"/>
              <w:bottom w:val="single" w:color="D7DCE4" w:sz="4"/>
              <w:right w:val="single" w:color="D7DCE4" w:sz="4"/>
            </w:tcBorders>
            <w:shd w:val="clear" w:color="auto" w:fill="FFFFFF"/>
            <w:tcMar>
              <w:top w:type="dxa" w:w="30"/>
              <w:left w:type="dxa" w:w="90"/>
              <w:bottom w:type="dxa" w:w="30"/>
              <w:right w:type="dxa" w:w="90"/>
            </w:tcMar>
          </w:tcPr>
          <w:p>
            <w:pPr>
              <w:spacing w:after="0" w:line="240" w:lineRule="auto"/>
            </w:pPr>
            <w:r>
              <w:rPr>
                <w:b/>
                <w:bCs/>
                <w:color w:val="1E2A3B"/>
                <w:sz w:val="17"/>
                <w:szCs w:val="17"/>
              </w:rPr>
              <w:t xml:space="preserve">Laju perbaikan</w:t>
            </w:r>
          </w:p>
        </w:tc>
        <w:tc>
          <w:tcPr>
            <w:tcW w:type="dxa" w:w="3777"/>
            <w:tcBorders>
              <w:top w:val="single" w:color="D7DCE4" w:sz="4"/>
              <w:left w:val="single" w:color="D7DCE4" w:sz="4"/>
              <w:bottom w:val="single" w:color="D7DCE4" w:sz="4"/>
              <w:right w:val="single" w:color="D7DCE4" w:sz="4"/>
            </w:tcBorders>
            <w:shd w:val="clear" w:color="auto" w:fill="FFFFFF"/>
            <w:tcMar>
              <w:top w:type="dxa" w:w="30"/>
              <w:left w:type="dxa" w:w="90"/>
              <w:bottom w:type="dxa" w:w="30"/>
              <w:right w:type="dxa" w:w="90"/>
            </w:tcMar>
          </w:tcPr>
          <w:p>
            <w:pPr>
              <w:spacing w:after="0" w:line="240" w:lineRule="auto"/>
            </w:pPr>
            <w:r>
              <w:rPr>
                <w:color w:val="1E2A3B"/>
                <w:sz w:val="17"/>
                <w:szCs w:val="17"/>
              </w:rPr>
              <w:t xml:space="preserve">0,67 ide terimplementasi per engineer</w:t>
            </w:r>
          </w:p>
        </w:tc>
        <w:tc>
          <w:tcPr>
            <w:tcW w:type="dxa" w:w="2865"/>
            <w:tcBorders>
              <w:top w:val="single" w:color="D7DCE4" w:sz="4"/>
              <w:left w:val="single" w:color="D7DCE4" w:sz="4"/>
              <w:bottom w:val="single" w:color="D7DCE4" w:sz="4"/>
              <w:right w:val="single" w:color="D7DCE4" w:sz="4"/>
            </w:tcBorders>
            <w:shd w:val="clear" w:color="auto" w:fill="FFFFFF"/>
            <w:tcMar>
              <w:top w:type="dxa" w:w="30"/>
              <w:left w:type="dxa" w:w="90"/>
              <w:bottom w:type="dxa" w:w="30"/>
              <w:right w:type="dxa" w:w="90"/>
            </w:tcMar>
          </w:tcPr>
          <w:p>
            <w:pPr>
              <w:spacing w:after="0" w:line="240" w:lineRule="auto"/>
            </w:pPr>
            <w:r>
              <w:rPr>
                <w:color w:val="1E2A3B"/>
                <w:sz w:val="17"/>
                <w:szCs w:val="17"/>
              </w:rPr>
              <w:t xml:space="preserve">1,08 (2023)</w:t>
            </w:r>
          </w:p>
        </w:tc>
        <w:tc>
          <w:tcPr>
            <w:tcW w:type="dxa" w:w="1303"/>
            <w:tcBorders>
              <w:top w:val="single" w:color="D7DCE4" w:sz="4"/>
              <w:left w:val="single" w:color="D7DCE4" w:sz="4"/>
              <w:bottom w:val="single" w:color="D7DCE4" w:sz="4"/>
              <w:right w:val="single" w:color="D7DCE4" w:sz="4"/>
            </w:tcBorders>
            <w:shd w:val="clear" w:color="auto" w:fill="F9DCC8"/>
            <w:tcMar>
              <w:top w:type="dxa" w:w="30"/>
              <w:left w:type="dxa" w:w="90"/>
              <w:bottom w:type="dxa" w:w="30"/>
              <w:right w:type="dxa" w:w="90"/>
            </w:tcMar>
          </w:tcPr>
          <w:p>
            <w:pPr>
              <w:spacing w:after="0" w:line="240" w:lineRule="auto"/>
            </w:pPr>
            <w:r>
              <w:rPr>
                <w:color w:val="1E2A3B"/>
                <w:sz w:val="17"/>
                <w:szCs w:val="17"/>
              </w:rPr>
              <w:t xml:space="preserve">Sangat tinggi</w:t>
            </w:r>
          </w:p>
        </w:tc>
      </w:tr>
    </w:tbl>
    <w:p>
      <w:pPr>
        <w:spacing w:before="30" w:after="100"/>
      </w:pPr>
      <w:r>
        <w:rPr>
          <w:color w:val="7A8494"/>
          <w:sz w:val="16"/>
          <w:szCs w:val="16"/>
        </w:rPr>
        <w:t xml:space="preserve">Sumber: AKTI &amp; TMMIN (2026), Exhibit 3–7; olahan tim.</w:t>
      </w:r>
    </w:p>
    <w:p>
      <w:pPr>
        <w:pBdr>
          <w:left w:val="single" w:color="E8742A" w:sz="18" w:space="8"/>
        </w:pBdr>
        <w:spacing w:before="40" w:after="120"/>
        <w:ind w:left="200"/>
        <w:jc w:val="both"/>
      </w:pPr>
      <w:r>
        <w:rPr>
          <w:b/>
          <w:bCs/>
          <w:color w:val="1F2F6B"/>
          <w:sz w:val="22"/>
          <w:szCs w:val="22"/>
        </w:rPr>
        <w:t xml:space="preserve">Akar masalah (5-whys):</w:t>
      </w:r>
      <w:r>
        <w:rPr>
          <w:color w:val="1F2F6B"/>
          <w:sz w:val="22"/>
          <w:szCs w:val="22"/>
        </w:rPr>
        <w:t xml:space="preserve"> sinyal masalah dan pelajaran perbaikan tidak punya jalur kembali, ke proses penyebab, ke standar bersama, maupun ke varian berikutnya, sehingga masalah yang sama dipecahkan berulang kali.</w:t>
      </w:r>
    </w:p>
    <w:p>
      <w:pPr>
        <w:spacing w:after="0"/>
        <w:jc w:val="both"/>
      </w:pPr>
      <w:r>
        <w:rPr/>
        <w:t xml:space="preserve">Kalimat ini menjelaskan ketiga komplikasi casebook: cacat ditemukan terlambat (scrap +8%), setiap varian dibangun ulang (9 bulan), dan know-how tertahan di senior (48%). Hipotesis tandingan tidak didukung data: 54% operator melihat teknologi sebagai pembantu dan 62% mau menyumbang ide, sehingga yang kurang adalah pelatihan (18%) dan kanal, bukan kemauan. Karena itu, area prioritas adalah loop kualitas di titik deteksi (inspeksi dan integrasi data), dengan sealer sebagai titik masuk karena satu-satunya proses yang menurut casebook belum punya umpan balik kualitas otomatis.</w:t>
      </w:r>
    </w:p>
    <w:p>
      <w:pPr>
        <w:pStyle w:val="Heading1"/>
        <w:pageBreakBefore/>
      </w:pPr>
      <w:r>
        <w:rPr/>
        <w:t xml:space="preserve">Bab 2. Strategic Recommendation</w:t>
      </w:r>
    </w:p>
    <w:p>
      <w:pPr>
        <w:spacing w:after="120"/>
      </w:pPr>
      <w:r>
        <w:rPr>
          <w:i/>
          <w:iCs/>
          <w:color w:val="7A8494"/>
        </w:rPr>
        <w:t xml:space="preserve">[Kalimat kunci bab. Diisi oleh Danu.]</w:t>
      </w:r>
    </w:p>
    <w:p>
      <w:pPr>
        <w:pStyle w:val="Heading2"/>
        <w:keepNext/>
        <w:spacing w:before="160" w:after="60"/>
      </w:pPr>
      <w:r>
        <w:rPr/>
        <w:t xml:space="preserve">2.1 Visi</w:t>
      </w:r>
    </w:p>
    <w:p>
      <w:pPr>
        <w:spacing w:after="120"/>
      </w:pPr>
      <w:r>
        <w:rPr>
          <w:i/>
          <w:iCs/>
          <w:color w:val="7A8494"/>
        </w:rPr>
        <w:t xml:space="preserve">[Isi subbab.]</w:t>
      </w:r>
    </w:p>
    <w:p>
      <w:pPr>
        <w:pStyle w:val="Heading2"/>
        <w:keepNext/>
        <w:spacing w:before="160" w:after="60"/>
      </w:pPr>
      <w:r>
        <w:rPr/>
        <w:t xml:space="preserve">2.2 Transformasi Manufaktur</w:t>
      </w:r>
    </w:p>
    <w:p>
      <w:pPr>
        <w:spacing w:after="120"/>
      </w:pPr>
      <w:r>
        <w:rPr>
          <w:i/>
          <w:iCs/>
          <w:color w:val="7A8494"/>
        </w:rPr>
        <w:t xml:space="preserve">[Isi subbab.]</w:t>
      </w:r>
    </w:p>
    <w:p>
      <w:pPr>
        <w:pStyle w:val="Heading2"/>
        <w:keepNext/>
        <w:spacing w:before="160" w:after="60"/>
      </w:pPr>
      <w:r>
        <w:rPr/>
        <w:t xml:space="preserve">2.3 Transformasi Organisasi</w:t>
      </w:r>
    </w:p>
    <w:p>
      <w:pPr>
        <w:spacing w:after="120"/>
      </w:pPr>
      <w:r>
        <w:rPr>
          <w:i/>
          <w:iCs/>
          <w:color w:val="7A8494"/>
        </w:rPr>
        <w:t xml:space="preserve">[Isi subbab.]</w:t>
      </w:r>
    </w:p>
    <w:p>
      <w:pPr>
        <w:pStyle w:val="Heading1"/>
        <w:pageBreakBefore/>
      </w:pPr>
      <w:r>
        <w:rPr/>
        <w:t xml:space="preserve">Bab 3. Implementation Direction</w:t>
      </w:r>
    </w:p>
    <w:p>
      <w:pPr>
        <w:spacing w:after="120"/>
      </w:pPr>
      <w:r>
        <w:rPr>
          <w:i/>
          <w:iCs/>
          <w:color w:val="7A8494"/>
        </w:rPr>
        <w:t xml:space="preserve">[Kalimat kunci bab. Diisi oleh Rifqi.]</w:t>
      </w:r>
    </w:p>
    <w:p>
      <w:pPr>
        <w:pStyle w:val="Heading2"/>
        <w:keepNext/>
        <w:spacing w:before="160" w:after="60"/>
      </w:pPr>
      <w:r>
        <w:rPr/>
        <w:t xml:space="preserve">3.1 Timeline Projection</w:t>
      </w:r>
    </w:p>
    <w:p>
      <w:pPr>
        <w:spacing w:after="120"/>
      </w:pPr>
      <w:r>
        <w:rPr>
          <w:i/>
          <w:iCs/>
          <w:color w:val="7A8494"/>
        </w:rPr>
        <w:t xml:space="preserve">[Isi subbab.]</w:t>
      </w:r>
    </w:p>
    <w:p>
      <w:pPr>
        <w:pStyle w:val="Heading2"/>
        <w:keepNext/>
        <w:spacing w:before="160" w:after="60"/>
      </w:pPr>
      <w:r>
        <w:rPr/>
        <w:t xml:space="preserve">3.2 Financial Projection</w:t>
      </w:r>
    </w:p>
    <w:p>
      <w:pPr>
        <w:spacing w:after="120"/>
      </w:pPr>
      <w:r>
        <w:rPr>
          <w:i/>
          <w:iCs/>
          <w:color w:val="7A8494"/>
        </w:rPr>
        <w:t xml:space="preserve">[Isi subbab.]</w:t>
      </w:r>
    </w:p>
    <w:p>
      <w:pPr>
        <w:pStyle w:val="Heading2"/>
        <w:keepNext/>
        <w:spacing w:before="160" w:after="60"/>
      </w:pPr>
      <w:r>
        <w:rPr/>
        <w:t xml:space="preserve">3.3 Risk Mitigation Analysis</w:t>
      </w:r>
    </w:p>
    <w:p>
      <w:pPr>
        <w:spacing w:after="120"/>
      </w:pPr>
      <w:r>
        <w:rPr>
          <w:i/>
          <w:iCs/>
          <w:color w:val="7A8494"/>
        </w:rPr>
        <w:t xml:space="preserve">[Isi subbab.]</w:t>
      </w:r>
    </w:p>
    <w:p>
      <w:pPr>
        <w:pStyle w:val="Heading1"/>
        <w:pageBreakBefore/>
      </w:pPr>
      <w:r>
        <w:rPr/>
        <w:t xml:space="preserve">Bab 4. Expected Business Impact</w:t>
      </w:r>
    </w:p>
    <w:p>
      <w:pPr>
        <w:spacing w:after="120"/>
      </w:pPr>
      <w:r>
        <w:rPr>
          <w:i/>
          <w:iCs/>
          <w:color w:val="7A8494"/>
        </w:rPr>
        <w:t xml:space="preserve">[Kalimat kunci bab. Diisi oleh Rifqi.]</w:t>
      </w:r>
    </w:p>
    <w:p>
      <w:pPr>
        <w:pStyle w:val="Heading2"/>
        <w:keepNext/>
        <w:spacing w:before="160" w:after="60"/>
      </w:pPr>
      <w:r>
        <w:rPr/>
        <w:t xml:space="preserve">4.1 Impact Assessment</w:t>
      </w:r>
    </w:p>
    <w:p>
      <w:pPr>
        <w:spacing w:after="120"/>
      </w:pPr>
      <w:r>
        <w:rPr>
          <w:i/>
          <w:iCs/>
          <w:color w:val="7A8494"/>
        </w:rPr>
        <w:t xml:space="preserve">[Isi subbab.]</w:t>
      </w:r>
    </w:p>
    <w:p>
      <w:pPr>
        <w:pStyle w:val="Heading1"/>
        <w:pageBreakBefore/>
      </w:pPr>
      <w:r>
        <w:rPr/>
        <w:t xml:space="preserve">Daftar Pustaka</w:t>
      </w:r>
    </w:p>
    <w:p>
      <w:pPr>
        <w:spacing w:after="80"/>
        <w:ind w:left="567" w:hanging="567"/>
      </w:pPr>
      <w:r>
        <w:rPr>
          <w:sz w:val="20"/>
          <w:szCs w:val="20"/>
        </w:rPr>
        <w:t xml:space="preserve">AKTI &amp; TMMIN. (2026). </w:t>
      </w:r>
      <w:r>
        <w:rPr>
          <w:i/>
          <w:iCs/>
          <w:sz w:val="20"/>
          <w:szCs w:val="20"/>
        </w:rPr>
        <w:t xml:space="preserve">M3C 2026 casebook: Next-level kaizen: Transforming manufacturing by integrating future technology and people</w:t>
      </w:r>
      <w:r>
        <w:rPr>
          <w:sz w:val="20"/>
          <w:szCs w:val="20"/>
        </w:rPr>
        <w:t xml:space="preserve">. MTI-Consulting × AKTI Case Competition.</w:t>
      </w:r>
    </w:p>
    <w:p>
      <w:pPr>
        <w:spacing w:after="80"/>
        <w:ind w:left="567" w:hanging="567"/>
      </w:pPr>
      <w:r>
        <w:rPr>
          <w:sz w:val="20"/>
          <w:szCs w:val="20"/>
        </w:rPr>
        <w:t xml:space="preserve">Breque, M., De Nul, L., &amp; Petridis, A. (2021). </w:t>
      </w:r>
      <w:r>
        <w:rPr>
          <w:i/>
          <w:iCs/>
          <w:sz w:val="20"/>
          <w:szCs w:val="20"/>
        </w:rPr>
        <w:t xml:space="preserve">Industry 5.0: Towards a sustainable, human-centric and resilient European industry</w:t>
      </w:r>
      <w:r>
        <w:rPr>
          <w:sz w:val="20"/>
          <w:szCs w:val="20"/>
        </w:rPr>
        <w:t xml:space="preserve">. Publications Office of the European Union. https://doi.org/10.2777/308407</w:t>
      </w:r>
    </w:p>
    <w:p>
      <w:pPr>
        <w:spacing w:after="80"/>
        <w:ind w:left="567" w:hanging="567"/>
      </w:pPr>
      <w:r>
        <w:rPr>
          <w:sz w:val="20"/>
          <w:szCs w:val="20"/>
        </w:rPr>
        <w:t xml:space="preserve">CNN Indonesia. (2025, 24 September). Perjalanan Toyota Indonesia sejak 1971 hingga gapai ekspor 3 juta unit. https://www.cnnindonesia.com/otomotif/20250924184520-579-1277368/perjalanan-toyota-indonesia-sejak-1971-hingga-gapai-ekspor-3-juta-unit</w:t>
      </w:r>
    </w:p>
    <w:p>
      <w:pPr>
        <w:spacing w:after="80"/>
        <w:ind w:left="567" w:hanging="567"/>
      </w:pPr>
      <w:r>
        <w:rPr>
          <w:sz w:val="20"/>
          <w:szCs w:val="20"/>
        </w:rPr>
        <w:t xml:space="preserve">McKinsey &amp; Company. (2016). </w:t>
      </w:r>
      <w:r>
        <w:rPr>
          <w:i/>
          <w:iCs/>
          <w:sz w:val="20"/>
          <w:szCs w:val="20"/>
        </w:rPr>
        <w:t xml:space="preserve">Automotive revolution – perspective towards 2030: How the convergence of disruptive technology-driven trends could transform the auto industry</w:t>
      </w:r>
      <w:r>
        <w:rPr>
          <w:sz w:val="20"/>
          <w:szCs w:val="20"/>
        </w:rPr>
        <w:t xml:space="preserve">. McKinsey &amp; Company.</w:t>
      </w:r>
    </w:p>
    <w:p>
      <w:pPr>
        <w:spacing w:after="80"/>
        <w:ind w:left="567" w:hanging="567"/>
      </w:pPr>
      <w:r>
        <w:rPr>
          <w:sz w:val="20"/>
          <w:szCs w:val="20"/>
        </w:rPr>
        <w:t xml:space="preserve">Minto, B. (2009). </w:t>
      </w:r>
      <w:r>
        <w:rPr>
          <w:i/>
          <w:iCs/>
          <w:sz w:val="20"/>
          <w:szCs w:val="20"/>
        </w:rPr>
        <w:t xml:space="preserve">The pyramid principle: Logic in writing and thinking</w:t>
      </w:r>
      <w:r>
        <w:rPr>
          <w:sz w:val="20"/>
          <w:szCs w:val="20"/>
        </w:rPr>
        <w:t xml:space="preserve"> (Edisi ke-3). Pearson Education.</w:t>
      </w:r>
    </w:p>
    <w:p>
      <w:pPr>
        <w:spacing w:after="80"/>
        <w:ind w:left="567" w:hanging="567"/>
      </w:pPr>
      <w:r>
        <w:rPr>
          <w:sz w:val="20"/>
          <w:szCs w:val="20"/>
        </w:rPr>
        <w:t xml:space="preserve">Ohno, T. (1988). </w:t>
      </w:r>
      <w:r>
        <w:rPr>
          <w:i/>
          <w:iCs/>
          <w:sz w:val="20"/>
          <w:szCs w:val="20"/>
        </w:rPr>
        <w:t xml:space="preserve">Toyota production system: Beyond large-scale production</w:t>
      </w:r>
      <w:r>
        <w:rPr>
          <w:sz w:val="20"/>
          <w:szCs w:val="20"/>
        </w:rPr>
        <w:t xml:space="preserve">. Productivity Press.</w:t>
      </w:r>
    </w:p>
    <w:p>
      <w:pPr>
        <w:spacing w:after="80"/>
        <w:ind w:left="567" w:hanging="567"/>
      </w:pPr>
      <w:r>
        <w:rPr>
          <w:sz w:val="20"/>
          <w:szCs w:val="20"/>
        </w:rPr>
        <w:t xml:space="preserve">Okezone. (2025, 22 Januari). BYD jual 15 ribu mobil listrik pada 2024, raup 36% pangsa pasar. https://ototekno.okezone.com/read/2025/01/22/52/3106665/byd-jual-15-ribu-mobil-listrik-pada-2024-raup-36-pangsa-pasar</w:t>
      </w:r>
    </w:p>
    <w:p>
      <w:pPr>
        <w:spacing w:after="80"/>
        <w:ind w:left="567" w:hanging="567"/>
      </w:pPr>
      <w:r>
        <w:rPr>
          <w:sz w:val="20"/>
          <w:szCs w:val="20"/>
        </w:rPr>
        <w:t xml:space="preserve">Peraturan Presiden Republik Indonesia Nomor 55 Tahun 2019 tentang Percepatan Program Kendaraan Bermotor Listrik Berbasis Baterai (</w:t>
      </w:r>
      <w:r>
        <w:rPr>
          <w:i/>
          <w:iCs/>
          <w:sz w:val="20"/>
          <w:szCs w:val="20"/>
        </w:rPr>
        <w:t xml:space="preserve">Battery Electric Vehicle</w:t>
      </w:r>
      <w:r>
        <w:rPr>
          <w:sz w:val="20"/>
          <w:szCs w:val="20"/>
        </w:rPr>
        <w:t xml:space="preserve">) untuk Transportasi Jalan.</w:t>
      </w:r>
    </w:p>
    <w:p>
      <w:pPr>
        <w:spacing w:after="80"/>
        <w:ind w:left="567" w:hanging="567"/>
      </w:pPr>
      <w:r>
        <w:rPr>
          <w:sz w:val="20"/>
          <w:szCs w:val="20"/>
        </w:rPr>
        <w:t xml:space="preserve">Peraturan Presiden Republik Indonesia Nomor 79 Tahun 2023 tentang Perubahan atas Peraturan Presiden Nomor 55 Tahun 2019 tentang Percepatan Program Kendaraan Bermotor Listrik Berbasis Baterai (</w:t>
      </w:r>
      <w:r>
        <w:rPr>
          <w:i/>
          <w:iCs/>
          <w:sz w:val="20"/>
          <w:szCs w:val="20"/>
        </w:rPr>
        <w:t xml:space="preserve">Battery Electric Vehicle</w:t>
      </w:r>
      <w:r>
        <w:rPr>
          <w:sz w:val="20"/>
          <w:szCs w:val="20"/>
        </w:rPr>
        <w:t xml:space="preserve">) untuk Transportasi Jalan.</w:t>
      </w:r>
    </w:p>
    <w:p>
      <w:pPr>
        <w:spacing w:after="80"/>
        <w:ind w:left="567" w:hanging="567"/>
      </w:pPr>
      <w:r>
        <w:rPr>
          <w:sz w:val="20"/>
          <w:szCs w:val="20"/>
        </w:rPr>
        <w:t xml:space="preserve">Repenning, N. P., &amp; Sterman, J. D. (2001). Nobody ever gets credit for fixing problems that never happened: Creating and sustaining process improvement. </w:t>
      </w:r>
      <w:r>
        <w:rPr>
          <w:i/>
          <w:iCs/>
          <w:sz w:val="20"/>
          <w:szCs w:val="20"/>
        </w:rPr>
        <w:t xml:space="preserve">California Management Review, 43</w:t>
      </w:r>
      <w:r>
        <w:rPr>
          <w:sz w:val="20"/>
          <w:szCs w:val="20"/>
        </w:rPr>
        <w:t xml:space="preserve">(4), 64–88.</w:t>
      </w:r>
    </w:p>
    <w:p>
      <w:pPr>
        <w:spacing w:after="80"/>
        <w:ind w:left="567" w:hanging="567"/>
      </w:pPr>
      <w:r>
        <w:rPr>
          <w:sz w:val="20"/>
          <w:szCs w:val="20"/>
        </w:rPr>
        <w:t xml:space="preserve">Spear, S., &amp; Bowen, H. K. (1999). Decoding the DNA of the Toyota Production System. </w:t>
      </w:r>
      <w:r>
        <w:rPr>
          <w:i/>
          <w:iCs/>
          <w:sz w:val="20"/>
          <w:szCs w:val="20"/>
        </w:rPr>
        <w:t xml:space="preserve">Harvard Business Review, 77</w:t>
      </w:r>
      <w:r>
        <w:rPr>
          <w:sz w:val="20"/>
          <w:szCs w:val="20"/>
        </w:rPr>
        <w:t xml:space="preserve">(5), 96–106.</w:t>
      </w:r>
    </w:p>
    <w:p>
      <w:pPr>
        <w:spacing w:after="80"/>
        <w:ind w:left="567" w:hanging="567"/>
      </w:pPr>
      <w:r>
        <w:rPr>
          <w:sz w:val="20"/>
          <w:szCs w:val="20"/>
        </w:rPr>
        <w:t xml:space="preserve">Toyota-Astra Motor. (t.t.). </w:t>
      </w:r>
      <w:r>
        <w:rPr>
          <w:i/>
          <w:iCs/>
          <w:sz w:val="20"/>
          <w:szCs w:val="20"/>
        </w:rPr>
        <w:t xml:space="preserve">Company profile</w:t>
      </w:r>
      <w:r>
        <w:rPr>
          <w:sz w:val="20"/>
          <w:szCs w:val="20"/>
        </w:rPr>
        <w:t xml:space="preserve">. Diakses 7 Oktober 2026, dari https://www.toyota.astra.co.id/corporate-information/profile</w:t>
      </w:r>
    </w:p>
    <w:p>
      <w:pPr>
        <w:spacing w:after="120"/>
      </w:pPr>
      <w:r>
        <w:rPr>
          <w:i/>
          <w:iCs/>
          <w:color w:val="7A8494"/>
        </w:rPr>
        <w:t xml:space="preserve">[Referensi Bab 2–4 ditambahkan oleh pemilik bab, urut abjad.]</w:t>
      </w:r>
    </w:p>
    <w:sectPr>
      <w:footerReference w:type="default" r:id="rId7"/>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CE4" w:sz="4" w:space="4"/>
      </w:pBdr>
      <w:tabs>
        <w:tab w:val="right" w:pos="9026"/>
      </w:tabs>
    </w:pPr>
    <w:r>
      <w:rPr>
        <w:color w:val="7A8494"/>
        <w:sz w:val="16"/>
        <w:szCs w:val="16"/>
      </w:rPr>
      <w:t xml:space="preserve">[Judul Solusi] · Tim [Nama Tim] · M3C 2026</w:t>
    </w:r>
    <w:r>
      <w:rPr>
        <w:color w:val="7A8494"/>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3B"/>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2F6B"/>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1F2F6B"/>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98e14b7187faa624673e7af76a1031a6d928589.jpg"/><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Proposal M3C 2026</dc:title>
  <dc:creator>Tim [Nama Tim]</dc:creator>
  <cp:lastModifiedBy>Un-named</cp:lastModifiedBy>
  <cp:revision>1</cp:revision>
  <dcterms:created xsi:type="dcterms:W3CDTF">2026-10-03T16:42:58.338Z</dcterms:created>
  <dcterms:modified xsi:type="dcterms:W3CDTF">2026-10-03T16:42:58.338Z</dcterms:modified>
</cp:coreProperties>
</file>

<file path=docProps/custom.xml><?xml version="1.0" encoding="utf-8"?>
<Properties xmlns="http://schemas.openxmlformats.org/officeDocument/2006/custom-properties" xmlns:vt="http://schemas.openxmlformats.org/officeDocument/2006/docPropsVTypes"/>
</file>